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kinsoku/>
        <w:wordWrap/>
        <w:overflowPunct/>
        <w:topLinePunct w:val="0"/>
        <w:bidi w:val="0"/>
        <w:adjustRightInd w:val="0"/>
        <w:snapToGrid w:val="0"/>
        <w:spacing w:line="560" w:lineRule="exact"/>
        <w:jc w:val="center"/>
        <w:rPr>
          <w:rFonts w:ascii="仿宋_GB2312" w:hAnsi="仿宋_GB2312" w:cs="仿宋_GB2312"/>
          <w:szCs w:val="32"/>
        </w:rPr>
      </w:pPr>
    </w:p>
    <w:p>
      <w:pPr>
        <w:pageBreakBefore w:val="0"/>
        <w:widowControl/>
        <w:kinsoku/>
        <w:wordWrap/>
        <w:overflowPunct/>
        <w:topLinePunct w:val="0"/>
        <w:bidi w:val="0"/>
        <w:adjustRightInd w:val="0"/>
        <w:snapToGrid w:val="0"/>
        <w:spacing w:line="560" w:lineRule="exact"/>
        <w:jc w:val="center"/>
        <w:rPr>
          <w:rFonts w:hint="eastAsia" w:ascii="方正小标宋简体" w:eastAsia="方正小标宋简体"/>
          <w:sz w:val="44"/>
          <w:szCs w:val="44"/>
          <w:lang w:eastAsia="zh-CN"/>
        </w:rPr>
      </w:pPr>
      <w:r>
        <w:rPr>
          <w:rFonts w:hint="eastAsia" w:ascii="方正小标宋简体" w:eastAsia="方正小标宋简体"/>
          <w:sz w:val="44"/>
          <w:szCs w:val="44"/>
        </w:rPr>
        <w:t>自贡市贡井区交通运输局</w:t>
      </w:r>
      <w:r>
        <w:rPr>
          <w:rFonts w:hint="eastAsia" w:ascii="方正小标宋简体" w:eastAsia="方正小标宋简体"/>
          <w:sz w:val="44"/>
          <w:szCs w:val="44"/>
          <w:lang w:eastAsia="zh-CN"/>
        </w:rPr>
        <w:t>（本级）</w:t>
      </w:r>
    </w:p>
    <w:p>
      <w:pPr>
        <w:pageBreakBefore w:val="0"/>
        <w:widowControl/>
        <w:kinsoku/>
        <w:wordWrap/>
        <w:overflowPunct/>
        <w:topLinePunct w:val="0"/>
        <w:bidi w:val="0"/>
        <w:adjustRightInd w:val="0"/>
        <w:snapToGrid w:val="0"/>
        <w:spacing w:line="560" w:lineRule="exact"/>
        <w:jc w:val="center"/>
        <w:rPr>
          <w:rFonts w:ascii="方正小标宋简体" w:eastAsia="方正小标宋简体"/>
          <w:sz w:val="44"/>
          <w:szCs w:val="44"/>
        </w:rPr>
      </w:pPr>
      <w:r>
        <w:rPr>
          <w:rFonts w:hint="eastAsia" w:ascii="方正小标宋简体" w:eastAsia="方正小标宋简体"/>
          <w:sz w:val="44"/>
          <w:szCs w:val="44"/>
        </w:rPr>
        <w:t>2020年度部门决算编制的说明</w:t>
      </w:r>
    </w:p>
    <w:p>
      <w:pPr>
        <w:pageBreakBefore w:val="0"/>
        <w:widowControl/>
        <w:kinsoku/>
        <w:wordWrap/>
        <w:overflowPunct/>
        <w:topLinePunct w:val="0"/>
        <w:bidi w:val="0"/>
        <w:adjustRightInd w:val="0"/>
        <w:snapToGrid w:val="0"/>
        <w:spacing w:line="560" w:lineRule="exact"/>
        <w:jc w:val="center"/>
        <w:rPr>
          <w:rFonts w:ascii="仿宋_GB2312"/>
          <w:sz w:val="28"/>
          <w:szCs w:val="28"/>
        </w:rPr>
      </w:pPr>
    </w:p>
    <w:p>
      <w:pPr>
        <w:pageBreakBefore w:val="0"/>
        <w:widowControl/>
        <w:kinsoku/>
        <w:wordWrap/>
        <w:overflowPunct/>
        <w:topLinePunct w:val="0"/>
        <w:bidi w:val="0"/>
        <w:adjustRightInd w:val="0"/>
        <w:snapToGrid w:val="0"/>
        <w:spacing w:line="560" w:lineRule="exact"/>
        <w:jc w:val="center"/>
        <w:rPr>
          <w:rFonts w:ascii="黑体" w:hAnsi="黑体" w:eastAsia="黑体"/>
          <w:color w:val="000000"/>
          <w:sz w:val="48"/>
          <w:szCs w:val="48"/>
        </w:rPr>
      </w:pPr>
      <w:r>
        <w:rPr>
          <w:rFonts w:hint="eastAsia" w:ascii="黑体" w:hAnsi="黑体" w:eastAsia="黑体"/>
          <w:color w:val="000000"/>
          <w:sz w:val="44"/>
          <w:szCs w:val="44"/>
        </w:rPr>
        <w:t>目录</w:t>
      </w:r>
    </w:p>
    <w:p>
      <w:pPr>
        <w:pStyle w:val="7"/>
        <w:pageBreakBefore w:val="0"/>
        <w:tabs>
          <w:tab w:val="right" w:leader="dot" w:pos="8306"/>
        </w:tabs>
        <w:kinsoku/>
        <w:wordWrap/>
        <w:overflowPunct/>
        <w:topLinePunct w:val="0"/>
        <w:bidi w:val="0"/>
        <w:adjustRightInd w:val="0"/>
        <w:snapToGrid w:val="0"/>
        <w:spacing w:before="0" w:line="560" w:lineRule="exact"/>
        <w:rPr>
          <w:rFonts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fldChar w:fldCharType="begin"/>
      </w:r>
      <w:r>
        <w:instrText xml:space="preserve"> HYPERLINK \l "_Toc10567" </w:instrText>
      </w:r>
      <w:r>
        <w:fldChar w:fldCharType="separate"/>
      </w:r>
      <w:r>
        <w:rPr>
          <w:rFonts w:hint="eastAsia" w:ascii="仿宋_GB2312" w:hAnsi="仿宋_GB2312" w:eastAsia="仿宋_GB2312" w:cs="仿宋_GB2312"/>
          <w:b w:val="0"/>
          <w:bCs w:val="0"/>
          <w:i w:val="0"/>
          <w:iCs w:val="0"/>
          <w:sz w:val="28"/>
          <w:szCs w:val="28"/>
        </w:rPr>
        <w:t>第一部分 部门概况</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_Toc10567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8"/>
        <w:pageBreakBefore w:val="0"/>
        <w:tabs>
          <w:tab w:val="right" w:leader="dot" w:pos="8306"/>
        </w:tabs>
        <w:kinsoku/>
        <w:wordWrap/>
        <w:overflowPunct/>
        <w:topLinePunct w:val="0"/>
        <w:bidi w:val="0"/>
        <w:adjustRightInd w:val="0"/>
        <w:snapToGrid w:val="0"/>
        <w:spacing w:before="0" w:line="560" w:lineRule="exact"/>
        <w:rPr>
          <w:rFonts w:ascii="仿宋_GB2312" w:hAnsi="仿宋_GB2312" w:eastAsia="仿宋_GB2312" w:cs="仿宋_GB2312"/>
          <w:b w:val="0"/>
          <w:bCs w:val="0"/>
          <w:sz w:val="28"/>
          <w:szCs w:val="28"/>
        </w:rPr>
      </w:pPr>
      <w:r>
        <w:fldChar w:fldCharType="begin"/>
      </w:r>
      <w:r>
        <w:instrText xml:space="preserve"> HYPERLINK \l "_Toc21498" </w:instrText>
      </w:r>
      <w:r>
        <w:fldChar w:fldCharType="separate"/>
      </w:r>
      <w:r>
        <w:rPr>
          <w:rFonts w:hint="eastAsia" w:ascii="仿宋_GB2312" w:hAnsi="仿宋_GB2312" w:eastAsia="仿宋_GB2312" w:cs="仿宋_GB2312"/>
          <w:b w:val="0"/>
          <w:bCs w:val="0"/>
          <w:sz w:val="28"/>
          <w:szCs w:val="28"/>
        </w:rPr>
        <w:t>一、基本职能及主要工作</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_Toc21498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pageBreakBefore w:val="0"/>
        <w:tabs>
          <w:tab w:val="right" w:leader="dot" w:pos="8306"/>
        </w:tabs>
        <w:kinsoku/>
        <w:wordWrap/>
        <w:overflowPunct/>
        <w:topLinePunct w:val="0"/>
        <w:bidi w:val="0"/>
        <w:adjustRightInd w:val="0"/>
        <w:snapToGrid w:val="0"/>
        <w:spacing w:before="0" w:line="560" w:lineRule="exact"/>
        <w:rPr>
          <w:rFonts w:ascii="仿宋_GB2312" w:hAnsi="仿宋_GB2312" w:eastAsia="仿宋_GB2312" w:cs="仿宋_GB2312"/>
          <w:b w:val="0"/>
          <w:bCs w:val="0"/>
          <w:sz w:val="28"/>
          <w:szCs w:val="28"/>
        </w:rPr>
      </w:pPr>
      <w:r>
        <w:fldChar w:fldCharType="begin"/>
      </w:r>
      <w:r>
        <w:instrText xml:space="preserve"> HYPERLINK \l "_Toc6092" </w:instrText>
      </w:r>
      <w:r>
        <w:fldChar w:fldCharType="separate"/>
      </w:r>
      <w:r>
        <w:rPr>
          <w:rFonts w:hint="eastAsia" w:ascii="仿宋_GB2312" w:hAnsi="仿宋_GB2312" w:eastAsia="仿宋_GB2312" w:cs="仿宋_GB2312"/>
          <w:b w:val="0"/>
          <w:bCs w:val="0"/>
          <w:sz w:val="28"/>
          <w:szCs w:val="28"/>
        </w:rPr>
        <w:t>二、机构设置</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lang w:val="en-US" w:eastAsia="zh-CN"/>
        </w:rPr>
        <w:t>5</w:t>
      </w:r>
      <w:r>
        <w:rPr>
          <w:rFonts w:hint="eastAsia" w:ascii="仿宋_GB2312" w:hAnsi="仿宋_GB2312" w:eastAsia="仿宋_GB2312" w:cs="仿宋_GB2312"/>
          <w:b w:val="0"/>
          <w:bCs w:val="0"/>
          <w:sz w:val="28"/>
          <w:szCs w:val="28"/>
        </w:rPr>
        <w:fldChar w:fldCharType="end"/>
      </w:r>
    </w:p>
    <w:p>
      <w:pPr>
        <w:pStyle w:val="7"/>
        <w:pageBreakBefore w:val="0"/>
        <w:tabs>
          <w:tab w:val="right" w:leader="dot" w:pos="8306"/>
        </w:tabs>
        <w:kinsoku/>
        <w:wordWrap/>
        <w:overflowPunct/>
        <w:topLinePunct w:val="0"/>
        <w:bidi w:val="0"/>
        <w:adjustRightInd w:val="0"/>
        <w:snapToGrid w:val="0"/>
        <w:spacing w:before="0" w:line="560" w:lineRule="exact"/>
        <w:rPr>
          <w:rFonts w:ascii="仿宋_GB2312" w:hAnsi="仿宋_GB2312" w:eastAsia="仿宋_GB2312" w:cs="仿宋_GB2312"/>
          <w:b w:val="0"/>
          <w:bCs w:val="0"/>
          <w:i w:val="0"/>
          <w:iCs w:val="0"/>
          <w:sz w:val="28"/>
          <w:szCs w:val="28"/>
        </w:rPr>
      </w:pPr>
      <w:r>
        <w:fldChar w:fldCharType="begin"/>
      </w:r>
      <w:r>
        <w:instrText xml:space="preserve"> HYPERLINK \l "_Toc23109" </w:instrText>
      </w:r>
      <w:r>
        <w:fldChar w:fldCharType="separate"/>
      </w:r>
      <w:r>
        <w:rPr>
          <w:rFonts w:hint="eastAsia" w:ascii="仿宋_GB2312" w:hAnsi="仿宋_GB2312" w:eastAsia="仿宋_GB2312" w:cs="仿宋_GB2312"/>
          <w:b w:val="0"/>
          <w:bCs w:val="0"/>
          <w:i w:val="0"/>
          <w:iCs w:val="0"/>
          <w:sz w:val="28"/>
          <w:szCs w:val="28"/>
        </w:rPr>
        <w:t>第二部分 2020年度部门决算情况说明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t>7</w:t>
      </w:r>
      <w:r>
        <w:rPr>
          <w:rFonts w:hint="eastAsia" w:ascii="仿宋_GB2312" w:hAnsi="仿宋_GB2312" w:eastAsia="仿宋_GB2312" w:cs="仿宋_GB2312"/>
          <w:b w:val="0"/>
          <w:bCs w:val="0"/>
          <w:i w:val="0"/>
          <w:iCs w:val="0"/>
          <w:sz w:val="28"/>
          <w:szCs w:val="28"/>
        </w:rPr>
        <w:fldChar w:fldCharType="end"/>
      </w:r>
    </w:p>
    <w:p>
      <w:pPr>
        <w:pStyle w:val="8"/>
        <w:pageBreakBefore w:val="0"/>
        <w:tabs>
          <w:tab w:val="right" w:leader="dot" w:pos="8306"/>
        </w:tabs>
        <w:kinsoku/>
        <w:wordWrap/>
        <w:overflowPunct/>
        <w:topLinePunct w:val="0"/>
        <w:bidi w:val="0"/>
        <w:adjustRightInd w:val="0"/>
        <w:snapToGrid w:val="0"/>
        <w:spacing w:before="0" w:line="560" w:lineRule="exact"/>
        <w:rPr>
          <w:rFonts w:ascii="仿宋_GB2312" w:hAnsi="仿宋_GB2312" w:eastAsia="仿宋_GB2312" w:cs="仿宋_GB2312"/>
          <w:b w:val="0"/>
          <w:bCs w:val="0"/>
          <w:sz w:val="28"/>
          <w:szCs w:val="28"/>
        </w:rPr>
      </w:pPr>
      <w:r>
        <w:fldChar w:fldCharType="begin"/>
      </w:r>
      <w:r>
        <w:instrText xml:space="preserve"> HYPERLINK \l "_Toc7163" </w:instrText>
      </w:r>
      <w:r>
        <w:fldChar w:fldCharType="separate"/>
      </w:r>
      <w:r>
        <w:rPr>
          <w:rFonts w:hint="eastAsia" w:ascii="仿宋_GB2312" w:hAnsi="仿宋_GB2312" w:eastAsia="仿宋_GB2312" w:cs="仿宋_GB2312"/>
          <w:b w:val="0"/>
          <w:bCs w:val="0"/>
          <w:sz w:val="28"/>
          <w:szCs w:val="28"/>
        </w:rPr>
        <w:t>一、 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7</w:t>
      </w:r>
      <w:r>
        <w:rPr>
          <w:rFonts w:hint="eastAsia" w:ascii="仿宋_GB2312" w:hAnsi="仿宋_GB2312" w:eastAsia="仿宋_GB2312" w:cs="仿宋_GB2312"/>
          <w:b w:val="0"/>
          <w:bCs w:val="0"/>
          <w:sz w:val="28"/>
          <w:szCs w:val="28"/>
        </w:rPr>
        <w:fldChar w:fldCharType="end"/>
      </w:r>
    </w:p>
    <w:p>
      <w:pPr>
        <w:pStyle w:val="8"/>
        <w:pageBreakBefore w:val="0"/>
        <w:tabs>
          <w:tab w:val="right" w:leader="dot" w:pos="8306"/>
        </w:tabs>
        <w:kinsoku/>
        <w:wordWrap/>
        <w:overflowPunct/>
        <w:topLinePunct w:val="0"/>
        <w:bidi w:val="0"/>
        <w:adjustRightInd w:val="0"/>
        <w:snapToGrid w:val="0"/>
        <w:spacing w:before="0" w:line="560" w:lineRule="exact"/>
        <w:rPr>
          <w:rFonts w:ascii="仿宋_GB2312" w:hAnsi="仿宋_GB2312" w:eastAsia="仿宋_GB2312" w:cs="仿宋_GB2312"/>
          <w:b w:val="0"/>
          <w:bCs w:val="0"/>
          <w:sz w:val="28"/>
          <w:szCs w:val="28"/>
        </w:rPr>
      </w:pPr>
      <w:r>
        <w:fldChar w:fldCharType="begin"/>
      </w:r>
      <w:r>
        <w:instrText xml:space="preserve"> HYPERLINK \l "_Toc25258" </w:instrText>
      </w:r>
      <w:r>
        <w:fldChar w:fldCharType="separate"/>
      </w:r>
      <w:r>
        <w:rPr>
          <w:rFonts w:hint="eastAsia" w:ascii="仿宋_GB2312" w:hAnsi="仿宋_GB2312" w:eastAsia="仿宋_GB2312" w:cs="仿宋_GB2312"/>
          <w:b w:val="0"/>
          <w:bCs w:val="0"/>
          <w:sz w:val="28"/>
          <w:szCs w:val="28"/>
        </w:rPr>
        <w:t>二、 收入决算情况说明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7</w:t>
      </w:r>
      <w:r>
        <w:rPr>
          <w:rFonts w:hint="eastAsia" w:ascii="仿宋_GB2312" w:hAnsi="仿宋_GB2312" w:eastAsia="仿宋_GB2312" w:cs="仿宋_GB2312"/>
          <w:b w:val="0"/>
          <w:bCs w:val="0"/>
          <w:sz w:val="28"/>
          <w:szCs w:val="28"/>
        </w:rPr>
        <w:fldChar w:fldCharType="end"/>
      </w:r>
    </w:p>
    <w:p>
      <w:pPr>
        <w:pStyle w:val="8"/>
        <w:pageBreakBefore w:val="0"/>
        <w:tabs>
          <w:tab w:val="right" w:leader="dot" w:pos="8306"/>
        </w:tabs>
        <w:kinsoku/>
        <w:wordWrap/>
        <w:overflowPunct/>
        <w:topLinePunct w:val="0"/>
        <w:bidi w:val="0"/>
        <w:adjustRightInd w:val="0"/>
        <w:snapToGrid w:val="0"/>
        <w:spacing w:before="0" w:line="560" w:lineRule="exact"/>
        <w:rPr>
          <w:rFonts w:ascii="仿宋_GB2312" w:hAnsi="仿宋_GB2312" w:eastAsia="仿宋_GB2312" w:cs="仿宋_GB2312"/>
          <w:b w:val="0"/>
          <w:bCs w:val="0"/>
          <w:sz w:val="28"/>
          <w:szCs w:val="28"/>
        </w:rPr>
      </w:pPr>
      <w:r>
        <w:fldChar w:fldCharType="begin"/>
      </w:r>
      <w:r>
        <w:instrText xml:space="preserve"> HYPERLINK \l "_Toc13725" </w:instrText>
      </w:r>
      <w:r>
        <w:fldChar w:fldCharType="separate"/>
      </w:r>
      <w:r>
        <w:rPr>
          <w:rFonts w:hint="eastAsia" w:ascii="仿宋_GB2312" w:hAnsi="仿宋_GB2312" w:eastAsia="仿宋_GB2312" w:cs="仿宋_GB2312"/>
          <w:b w:val="0"/>
          <w:bCs w:val="0"/>
          <w:sz w:val="28"/>
          <w:szCs w:val="28"/>
        </w:rPr>
        <w:t>三、 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8</w:t>
      </w:r>
      <w:r>
        <w:rPr>
          <w:rFonts w:hint="eastAsia" w:ascii="仿宋_GB2312" w:hAnsi="仿宋_GB2312" w:eastAsia="仿宋_GB2312" w:cs="仿宋_GB2312"/>
          <w:b w:val="0"/>
          <w:bCs w:val="0"/>
          <w:sz w:val="28"/>
          <w:szCs w:val="28"/>
        </w:rPr>
        <w:fldChar w:fldCharType="end"/>
      </w:r>
    </w:p>
    <w:p>
      <w:pPr>
        <w:pStyle w:val="8"/>
        <w:pageBreakBefore w:val="0"/>
        <w:tabs>
          <w:tab w:val="right" w:leader="dot" w:pos="8306"/>
        </w:tabs>
        <w:kinsoku/>
        <w:wordWrap/>
        <w:overflowPunct/>
        <w:topLinePunct w:val="0"/>
        <w:bidi w:val="0"/>
        <w:adjustRightInd w:val="0"/>
        <w:snapToGrid w:val="0"/>
        <w:spacing w:before="0" w:line="560" w:lineRule="exact"/>
        <w:rPr>
          <w:rFonts w:ascii="仿宋_GB2312" w:hAnsi="仿宋_GB2312" w:eastAsia="仿宋_GB2312" w:cs="仿宋_GB2312"/>
          <w:b w:val="0"/>
          <w:bCs w:val="0"/>
          <w:sz w:val="28"/>
          <w:szCs w:val="28"/>
        </w:rPr>
      </w:pPr>
      <w:r>
        <w:fldChar w:fldCharType="begin"/>
      </w:r>
      <w:r>
        <w:instrText xml:space="preserve"> HYPERLINK \l "_Toc10354" </w:instrText>
      </w:r>
      <w:r>
        <w:fldChar w:fldCharType="separate"/>
      </w:r>
      <w:r>
        <w:rPr>
          <w:rFonts w:hint="eastAsia" w:ascii="仿宋_GB2312" w:hAnsi="仿宋_GB2312" w:eastAsia="仿宋_GB2312" w:cs="仿宋_GB2312"/>
          <w:b w:val="0"/>
          <w:bCs w:val="0"/>
          <w:sz w:val="28"/>
          <w:szCs w:val="28"/>
        </w:rPr>
        <w:t>四、财政拨款收入支出决算总体情况说明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8</w:t>
      </w:r>
      <w:r>
        <w:rPr>
          <w:rFonts w:hint="eastAsia" w:ascii="仿宋_GB2312" w:hAnsi="仿宋_GB2312" w:eastAsia="仿宋_GB2312" w:cs="仿宋_GB2312"/>
          <w:b w:val="0"/>
          <w:bCs w:val="0"/>
          <w:sz w:val="28"/>
          <w:szCs w:val="28"/>
        </w:rPr>
        <w:fldChar w:fldCharType="end"/>
      </w:r>
    </w:p>
    <w:p>
      <w:pPr>
        <w:pStyle w:val="8"/>
        <w:pageBreakBefore w:val="0"/>
        <w:tabs>
          <w:tab w:val="right" w:leader="dot" w:pos="8306"/>
        </w:tabs>
        <w:kinsoku/>
        <w:wordWrap/>
        <w:overflowPunct/>
        <w:topLinePunct w:val="0"/>
        <w:bidi w:val="0"/>
        <w:adjustRightInd w:val="0"/>
        <w:snapToGrid w:val="0"/>
        <w:spacing w:before="0" w:line="560" w:lineRule="exact"/>
        <w:rPr>
          <w:rFonts w:ascii="仿宋_GB2312" w:hAnsi="仿宋_GB2312" w:eastAsia="仿宋_GB2312" w:cs="仿宋_GB2312"/>
          <w:b w:val="0"/>
          <w:bCs w:val="0"/>
          <w:sz w:val="28"/>
          <w:szCs w:val="28"/>
        </w:rPr>
      </w:pPr>
      <w:r>
        <w:fldChar w:fldCharType="begin"/>
      </w:r>
      <w:r>
        <w:instrText xml:space="preserve"> HYPERLINK \l "_Toc10967" </w:instrText>
      </w:r>
      <w:r>
        <w:fldChar w:fldCharType="separate"/>
      </w:r>
      <w:r>
        <w:rPr>
          <w:rFonts w:hint="eastAsia" w:ascii="仿宋_GB2312" w:hAnsi="仿宋_GB2312" w:eastAsia="仿宋_GB2312" w:cs="仿宋_GB2312"/>
          <w:b w:val="0"/>
          <w:bCs w:val="0"/>
          <w:sz w:val="28"/>
          <w:szCs w:val="28"/>
        </w:rPr>
        <w:t>五、一般公共预算财政拨款支出决算情况说明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9</w:t>
      </w:r>
      <w:r>
        <w:rPr>
          <w:rFonts w:hint="eastAsia" w:ascii="仿宋_GB2312" w:hAnsi="仿宋_GB2312" w:eastAsia="仿宋_GB2312" w:cs="仿宋_GB2312"/>
          <w:b w:val="0"/>
          <w:bCs w:val="0"/>
          <w:sz w:val="28"/>
          <w:szCs w:val="28"/>
        </w:rPr>
        <w:fldChar w:fldCharType="end"/>
      </w:r>
    </w:p>
    <w:p>
      <w:pPr>
        <w:pStyle w:val="8"/>
        <w:pageBreakBefore w:val="0"/>
        <w:tabs>
          <w:tab w:val="right" w:leader="dot" w:pos="8306"/>
        </w:tabs>
        <w:kinsoku/>
        <w:wordWrap/>
        <w:overflowPunct/>
        <w:topLinePunct w:val="0"/>
        <w:bidi w:val="0"/>
        <w:adjustRightInd w:val="0"/>
        <w:snapToGrid w:val="0"/>
        <w:spacing w:before="0" w:line="560" w:lineRule="exact"/>
        <w:rPr>
          <w:rFonts w:ascii="仿宋_GB2312" w:hAnsi="仿宋_GB2312" w:eastAsia="仿宋_GB2312" w:cs="仿宋_GB2312"/>
          <w:b w:val="0"/>
          <w:bCs w:val="0"/>
          <w:sz w:val="28"/>
          <w:szCs w:val="28"/>
        </w:rPr>
      </w:pPr>
      <w:r>
        <w:fldChar w:fldCharType="begin"/>
      </w:r>
      <w:r>
        <w:instrText xml:space="preserve"> HYPERLINK \l "_Toc31021" </w:instrText>
      </w:r>
      <w:r>
        <w:fldChar w:fldCharType="separate"/>
      </w:r>
      <w:r>
        <w:rPr>
          <w:rFonts w:hint="eastAsia" w:ascii="仿宋_GB2312" w:hAnsi="仿宋_GB2312" w:eastAsia="仿宋_GB2312" w:cs="仿宋_GB2312"/>
          <w:b w:val="0"/>
          <w:bCs w:val="0"/>
          <w:sz w:val="28"/>
          <w:szCs w:val="28"/>
        </w:rPr>
        <w:t>六、一般公共预算财政拨款基本支出决算情况说明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rPr>
        <w:t>2</w:t>
      </w:r>
    </w:p>
    <w:p>
      <w:pPr>
        <w:pStyle w:val="8"/>
        <w:pageBreakBefore w:val="0"/>
        <w:tabs>
          <w:tab w:val="right" w:leader="dot" w:pos="8306"/>
        </w:tabs>
        <w:kinsoku/>
        <w:wordWrap/>
        <w:overflowPunct/>
        <w:topLinePunct w:val="0"/>
        <w:bidi w:val="0"/>
        <w:adjustRightInd w:val="0"/>
        <w:snapToGrid w:val="0"/>
        <w:spacing w:before="0" w:line="560" w:lineRule="exact"/>
        <w:rPr>
          <w:rFonts w:hint="eastAsia" w:ascii="仿宋_GB2312" w:hAnsi="仿宋_GB2312" w:eastAsia="仿宋_GB2312" w:cs="仿宋_GB2312"/>
          <w:b w:val="0"/>
          <w:bCs w:val="0"/>
          <w:sz w:val="28"/>
          <w:szCs w:val="28"/>
          <w:lang w:eastAsia="zh-CN"/>
        </w:rPr>
      </w:pPr>
      <w:r>
        <w:fldChar w:fldCharType="begin"/>
      </w:r>
      <w:r>
        <w:instrText xml:space="preserve"> HYPERLINK \l "_Toc6926" </w:instrText>
      </w:r>
      <w:r>
        <w:fldChar w:fldCharType="separate"/>
      </w:r>
      <w:r>
        <w:rPr>
          <w:rFonts w:hint="eastAsia" w:ascii="仿宋_GB2312" w:hAnsi="仿宋_GB2312" w:eastAsia="仿宋_GB2312" w:cs="仿宋_GB2312"/>
          <w:b w:val="0"/>
          <w:bCs w:val="0"/>
          <w:sz w:val="28"/>
          <w:szCs w:val="28"/>
        </w:rPr>
        <w:t>七、“三公”经费财政拨款支出决算情况说明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lang w:val="en-US" w:eastAsia="zh-CN"/>
        </w:rPr>
        <w:t>2</w:t>
      </w:r>
    </w:p>
    <w:p>
      <w:pPr>
        <w:pStyle w:val="8"/>
        <w:pageBreakBefore w:val="0"/>
        <w:tabs>
          <w:tab w:val="right" w:leader="dot" w:pos="8306"/>
        </w:tabs>
        <w:kinsoku/>
        <w:wordWrap/>
        <w:overflowPunct/>
        <w:topLinePunct w:val="0"/>
        <w:bidi w:val="0"/>
        <w:adjustRightInd w:val="0"/>
        <w:snapToGrid w:val="0"/>
        <w:spacing w:before="0" w:line="560" w:lineRule="exact"/>
        <w:rPr>
          <w:rFonts w:hint="eastAsia" w:ascii="仿宋_GB2312" w:hAnsi="仿宋_GB2312" w:eastAsia="仿宋_GB2312" w:cs="仿宋_GB2312"/>
          <w:b w:val="0"/>
          <w:bCs w:val="0"/>
          <w:sz w:val="28"/>
          <w:szCs w:val="28"/>
          <w:lang w:val="en-US" w:eastAsia="zh-CN"/>
        </w:rPr>
      </w:pPr>
      <w:r>
        <w:fldChar w:fldCharType="begin"/>
      </w:r>
      <w:r>
        <w:instrText xml:space="preserve"> HYPERLINK \l "_Toc9843" </w:instrText>
      </w:r>
      <w:r>
        <w:fldChar w:fldCharType="separate"/>
      </w:r>
      <w:r>
        <w:rPr>
          <w:rFonts w:hint="eastAsia" w:ascii="仿宋_GB2312" w:hAnsi="仿宋_GB2312" w:eastAsia="仿宋_GB2312" w:cs="仿宋_GB2312"/>
          <w:b w:val="0"/>
          <w:bCs w:val="0"/>
          <w:sz w:val="28"/>
          <w:szCs w:val="28"/>
        </w:rPr>
        <w:t>八、政府性基金预算支出决算情况说明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lang w:val="en-US" w:eastAsia="zh-CN"/>
        </w:rPr>
        <w:t>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lang w:val="en-US" w:eastAsia="zh-CN"/>
        </w:rPr>
        <w:t>4</w:t>
      </w:r>
    </w:p>
    <w:p>
      <w:pPr>
        <w:pStyle w:val="8"/>
        <w:pageBreakBefore w:val="0"/>
        <w:tabs>
          <w:tab w:val="right" w:leader="dot" w:pos="8306"/>
        </w:tabs>
        <w:kinsoku/>
        <w:wordWrap/>
        <w:overflowPunct/>
        <w:topLinePunct w:val="0"/>
        <w:bidi w:val="0"/>
        <w:adjustRightInd w:val="0"/>
        <w:snapToGrid w:val="0"/>
        <w:spacing w:before="0" w:line="560" w:lineRule="exact"/>
        <w:rPr>
          <w:rFonts w:ascii="仿宋_GB2312" w:hAnsi="仿宋_GB2312" w:eastAsia="仿宋_GB2312" w:cs="仿宋_GB2312"/>
          <w:b w:val="0"/>
          <w:bCs w:val="0"/>
          <w:sz w:val="28"/>
          <w:szCs w:val="28"/>
        </w:rPr>
      </w:pPr>
      <w:r>
        <w:fldChar w:fldCharType="begin"/>
      </w:r>
      <w:r>
        <w:instrText xml:space="preserve"> HYPERLINK \l "_Toc10775" </w:instrText>
      </w:r>
      <w:r>
        <w:fldChar w:fldCharType="separate"/>
      </w:r>
      <w:r>
        <w:rPr>
          <w:rFonts w:hint="eastAsia" w:ascii="仿宋_GB2312" w:hAnsi="仿宋_GB2312" w:eastAsia="仿宋_GB2312" w:cs="仿宋_GB2312"/>
          <w:b w:val="0"/>
          <w:bCs w:val="0"/>
          <w:sz w:val="28"/>
          <w:szCs w:val="28"/>
        </w:rPr>
        <w:t>九、 国有资本经营预算支出决算情况说明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_Toc10775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lang w:val="en-US" w:eastAsia="zh-CN"/>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pageBreakBefore w:val="0"/>
        <w:tabs>
          <w:tab w:val="right" w:leader="dot" w:pos="8306"/>
        </w:tabs>
        <w:kinsoku/>
        <w:wordWrap/>
        <w:overflowPunct/>
        <w:topLinePunct w:val="0"/>
        <w:bidi w:val="0"/>
        <w:adjustRightInd w:val="0"/>
        <w:snapToGrid w:val="0"/>
        <w:spacing w:before="0" w:line="560" w:lineRule="exact"/>
        <w:rPr>
          <w:rFonts w:ascii="仿宋_GB2312" w:hAnsi="仿宋_GB2312" w:eastAsia="仿宋_GB2312" w:cs="仿宋_GB2312"/>
          <w:b w:val="0"/>
          <w:bCs w:val="0"/>
          <w:sz w:val="28"/>
          <w:szCs w:val="28"/>
        </w:rPr>
      </w:pPr>
      <w:r>
        <w:fldChar w:fldCharType="begin"/>
      </w:r>
      <w:r>
        <w:instrText xml:space="preserve"> HYPERLINK \l "_Toc738" </w:instrText>
      </w:r>
      <w:r>
        <w:fldChar w:fldCharType="separate"/>
      </w:r>
      <w:r>
        <w:rPr>
          <w:rFonts w:hint="eastAsia" w:ascii="仿宋_GB2312" w:hAnsi="仿宋_GB2312" w:eastAsia="仿宋_GB2312" w:cs="仿宋_GB2312"/>
          <w:b w:val="0"/>
          <w:bCs w:val="0"/>
          <w:sz w:val="28"/>
          <w:szCs w:val="28"/>
        </w:rPr>
        <w:t>十、其他重要事项的情况说明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_Toc738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lang w:val="en-US" w:eastAsia="zh-CN"/>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7"/>
        <w:pageBreakBefore w:val="0"/>
        <w:tabs>
          <w:tab w:val="right" w:leader="dot" w:pos="8306"/>
        </w:tabs>
        <w:kinsoku/>
        <w:wordWrap/>
        <w:overflowPunct/>
        <w:topLinePunct w:val="0"/>
        <w:bidi w:val="0"/>
        <w:adjustRightInd w:val="0"/>
        <w:snapToGrid w:val="0"/>
        <w:spacing w:before="0" w:line="560" w:lineRule="exact"/>
        <w:rPr>
          <w:rFonts w:ascii="仿宋_GB2312" w:hAnsi="仿宋_GB2312" w:eastAsia="仿宋_GB2312" w:cs="仿宋_GB2312"/>
          <w:b w:val="0"/>
          <w:bCs w:val="0"/>
          <w:i w:val="0"/>
          <w:iCs w:val="0"/>
          <w:sz w:val="28"/>
          <w:szCs w:val="28"/>
        </w:rPr>
      </w:pPr>
      <w:r>
        <w:fldChar w:fldCharType="begin"/>
      </w:r>
      <w:r>
        <w:instrText xml:space="preserve"> HYPERLINK \l "_Toc3536" </w:instrText>
      </w:r>
      <w:r>
        <w:fldChar w:fldCharType="separate"/>
      </w:r>
      <w:r>
        <w:rPr>
          <w:rFonts w:hint="eastAsia" w:ascii="仿宋_GB2312" w:hAnsi="仿宋_GB2312" w:eastAsia="仿宋_GB2312" w:cs="仿宋_GB2312"/>
          <w:b w:val="0"/>
          <w:bCs w:val="0"/>
          <w:i w:val="0"/>
          <w:iCs w:val="0"/>
          <w:sz w:val="28"/>
          <w:szCs w:val="28"/>
        </w:rPr>
        <w:t>第三部分 名词解释</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_Toc3536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w:t>
      </w:r>
      <w:r>
        <w:rPr>
          <w:rFonts w:hint="eastAsia" w:ascii="仿宋_GB2312" w:hAnsi="仿宋_GB2312" w:eastAsia="仿宋_GB2312" w:cs="仿宋_GB2312"/>
          <w:b w:val="0"/>
          <w:bCs w:val="0"/>
          <w:i w:val="0"/>
          <w:iCs w:val="0"/>
          <w:sz w:val="28"/>
          <w:szCs w:val="28"/>
          <w:lang w:val="en-US" w:eastAsia="zh-CN"/>
        </w:rPr>
        <w:t>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7"/>
        <w:pageBreakBefore w:val="0"/>
        <w:tabs>
          <w:tab w:val="right" w:leader="dot" w:pos="8306"/>
        </w:tabs>
        <w:kinsoku/>
        <w:wordWrap/>
        <w:overflowPunct/>
        <w:topLinePunct w:val="0"/>
        <w:bidi w:val="0"/>
        <w:adjustRightInd w:val="0"/>
        <w:snapToGrid w:val="0"/>
        <w:spacing w:before="0" w:line="560" w:lineRule="exact"/>
        <w:rPr>
          <w:rFonts w:hint="default" w:ascii="仿宋_GB2312" w:hAnsi="仿宋_GB2312" w:eastAsia="仿宋_GB2312" w:cs="仿宋_GB2312"/>
          <w:b w:val="0"/>
          <w:bCs w:val="0"/>
          <w:i w:val="0"/>
          <w:iCs w:val="0"/>
          <w:sz w:val="28"/>
          <w:szCs w:val="28"/>
          <w:lang w:val="en-US" w:eastAsia="zh-CN"/>
        </w:rPr>
      </w:pPr>
      <w:r>
        <w:fldChar w:fldCharType="begin"/>
      </w:r>
      <w:r>
        <w:instrText xml:space="preserve"> HYPERLINK \l "_Toc11207" </w:instrText>
      </w:r>
      <w:r>
        <w:fldChar w:fldCharType="separate"/>
      </w:r>
      <w:r>
        <w:rPr>
          <w:rFonts w:hint="eastAsia" w:ascii="仿宋_GB2312" w:hAnsi="仿宋_GB2312" w:eastAsia="仿宋_GB2312" w:cs="仿宋_GB2312"/>
          <w:b w:val="0"/>
          <w:bCs w:val="0"/>
          <w:i w:val="0"/>
          <w:iCs w:val="0"/>
          <w:sz w:val="28"/>
          <w:szCs w:val="28"/>
        </w:rPr>
        <w:t>第四部分 附件</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lang w:val="en-US" w:eastAsia="zh-CN"/>
        </w:rPr>
        <w:t>29</w:t>
      </w:r>
    </w:p>
    <w:p>
      <w:pPr>
        <w:pStyle w:val="8"/>
        <w:pageBreakBefore w:val="0"/>
        <w:tabs>
          <w:tab w:val="right" w:leader="dot" w:pos="8306"/>
        </w:tabs>
        <w:kinsoku/>
        <w:wordWrap/>
        <w:overflowPunct/>
        <w:topLinePunct w:val="0"/>
        <w:bidi w:val="0"/>
        <w:adjustRightInd w:val="0"/>
        <w:snapToGrid w:val="0"/>
        <w:spacing w:before="0" w:line="560" w:lineRule="exact"/>
        <w:rPr>
          <w:rFonts w:hint="default" w:ascii="仿宋_GB2312" w:hAnsi="仿宋_GB2312" w:eastAsia="仿宋_GB2312" w:cs="仿宋_GB2312"/>
          <w:b w:val="0"/>
          <w:bCs w:val="0"/>
          <w:sz w:val="28"/>
          <w:szCs w:val="28"/>
          <w:lang w:val="en-US" w:eastAsia="zh-CN"/>
        </w:rPr>
      </w:pPr>
      <w:r>
        <w:fldChar w:fldCharType="begin"/>
      </w:r>
      <w:r>
        <w:instrText xml:space="preserve"> HYPERLINK \l "_Toc22930" </w:instrText>
      </w:r>
      <w:r>
        <w:fldChar w:fldCharType="separate"/>
      </w:r>
      <w:r>
        <w:rPr>
          <w:rFonts w:hint="eastAsia" w:ascii="仿宋_GB2312" w:hAnsi="仿宋_GB2312" w:eastAsia="仿宋_GB2312" w:cs="仿宋_GB2312"/>
          <w:b w:val="0"/>
          <w:bCs w:val="0"/>
          <w:sz w:val="28"/>
          <w:szCs w:val="28"/>
        </w:rPr>
        <w:t>附件1</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lang w:val="en-US" w:eastAsia="zh-CN"/>
        </w:rPr>
        <w:t>29</w:t>
      </w:r>
    </w:p>
    <w:p>
      <w:pPr>
        <w:pStyle w:val="7"/>
        <w:pageBreakBefore w:val="0"/>
        <w:tabs>
          <w:tab w:val="right" w:leader="dot" w:pos="8306"/>
        </w:tabs>
        <w:kinsoku/>
        <w:wordWrap/>
        <w:overflowPunct/>
        <w:topLinePunct w:val="0"/>
        <w:bidi w:val="0"/>
        <w:adjustRightInd w:val="0"/>
        <w:snapToGrid w:val="0"/>
        <w:spacing w:before="0" w:line="560" w:lineRule="exact"/>
        <w:rPr>
          <w:rFonts w:hint="eastAsia" w:ascii="仿宋_GB2312" w:hAnsi="仿宋_GB2312" w:eastAsia="仿宋_GB2312" w:cs="仿宋_GB2312"/>
          <w:b w:val="0"/>
          <w:bCs w:val="0"/>
          <w:i w:val="0"/>
          <w:iCs w:val="0"/>
          <w:sz w:val="28"/>
          <w:szCs w:val="28"/>
          <w:lang w:eastAsia="zh-CN"/>
        </w:rPr>
      </w:pPr>
      <w:r>
        <w:fldChar w:fldCharType="begin"/>
      </w:r>
      <w:r>
        <w:instrText xml:space="preserve"> HYPERLINK \l "_Toc32283" </w:instrText>
      </w:r>
      <w:r>
        <w:fldChar w:fldCharType="separate"/>
      </w:r>
      <w:r>
        <w:rPr>
          <w:rFonts w:hint="eastAsia" w:ascii="仿宋_GB2312" w:hAnsi="仿宋_GB2312" w:eastAsia="仿宋_GB2312" w:cs="仿宋_GB2312"/>
          <w:b w:val="0"/>
          <w:bCs w:val="0"/>
          <w:i w:val="0"/>
          <w:iCs w:val="0"/>
          <w:sz w:val="28"/>
          <w:szCs w:val="28"/>
        </w:rPr>
        <w:t>第五部分 附表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t>4</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lang w:val="en-US" w:eastAsia="zh-CN"/>
        </w:rPr>
        <w:t>2</w:t>
      </w:r>
    </w:p>
    <w:p>
      <w:pPr>
        <w:pStyle w:val="8"/>
        <w:pageBreakBefore w:val="0"/>
        <w:tabs>
          <w:tab w:val="right" w:leader="dot" w:pos="8306"/>
        </w:tabs>
        <w:kinsoku/>
        <w:wordWrap/>
        <w:overflowPunct/>
        <w:topLinePunct w:val="0"/>
        <w:bidi w:val="0"/>
        <w:adjustRightInd w:val="0"/>
        <w:snapToGrid w:val="0"/>
        <w:spacing w:before="0" w:line="560" w:lineRule="exact"/>
        <w:rPr>
          <w:rFonts w:hint="eastAsia" w:ascii="仿宋_GB2312" w:hAnsi="仿宋_GB2312" w:eastAsia="仿宋_GB2312" w:cs="仿宋_GB2312"/>
          <w:b w:val="0"/>
          <w:bCs w:val="0"/>
          <w:sz w:val="28"/>
          <w:szCs w:val="28"/>
          <w:lang w:eastAsia="zh-CN"/>
        </w:rPr>
      </w:pPr>
      <w:r>
        <w:fldChar w:fldCharType="begin"/>
      </w:r>
      <w:r>
        <w:instrText xml:space="preserve"> HYPERLINK \l "_Toc15699" </w:instrText>
      </w:r>
      <w:r>
        <w:fldChar w:fldCharType="separate"/>
      </w:r>
      <w:r>
        <w:rPr>
          <w:rFonts w:hint="eastAsia" w:ascii="仿宋_GB2312" w:hAnsi="仿宋_GB2312" w:eastAsia="仿宋_GB2312" w:cs="仿宋_GB2312"/>
          <w:b w:val="0"/>
          <w:bCs w:val="0"/>
          <w:sz w:val="28"/>
          <w:szCs w:val="28"/>
        </w:rPr>
        <w:t>一、收入支出决算总表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lang w:val="en-US" w:eastAsia="zh-CN"/>
        </w:rPr>
        <w:t>2</w:t>
      </w:r>
    </w:p>
    <w:p>
      <w:pPr>
        <w:pStyle w:val="8"/>
        <w:pageBreakBefore w:val="0"/>
        <w:tabs>
          <w:tab w:val="right" w:leader="dot" w:pos="8306"/>
        </w:tabs>
        <w:kinsoku/>
        <w:wordWrap/>
        <w:overflowPunct/>
        <w:topLinePunct w:val="0"/>
        <w:bidi w:val="0"/>
        <w:adjustRightInd w:val="0"/>
        <w:snapToGrid w:val="0"/>
        <w:spacing w:before="0" w:line="560" w:lineRule="exact"/>
        <w:rPr>
          <w:rFonts w:hint="eastAsia" w:ascii="仿宋_GB2312" w:hAnsi="仿宋_GB2312" w:eastAsia="仿宋_GB2312" w:cs="仿宋_GB2312"/>
          <w:b w:val="0"/>
          <w:bCs w:val="0"/>
          <w:sz w:val="28"/>
          <w:szCs w:val="28"/>
          <w:lang w:eastAsia="zh-CN"/>
        </w:rPr>
      </w:pPr>
      <w:r>
        <w:fldChar w:fldCharType="begin"/>
      </w:r>
      <w:r>
        <w:instrText xml:space="preserve"> HYPERLINK \l "_Toc27106" </w:instrText>
      </w:r>
      <w:r>
        <w:fldChar w:fldCharType="separate"/>
      </w:r>
      <w:r>
        <w:rPr>
          <w:rFonts w:hint="eastAsia" w:ascii="仿宋_GB2312" w:hAnsi="仿宋_GB2312" w:eastAsia="仿宋_GB2312" w:cs="仿宋_GB2312"/>
          <w:b w:val="0"/>
          <w:bCs w:val="0"/>
          <w:sz w:val="28"/>
          <w:szCs w:val="28"/>
        </w:rPr>
        <w:t>二、收入决算表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lang w:val="en-US" w:eastAsia="zh-CN"/>
        </w:rPr>
        <w:t>2</w:t>
      </w:r>
    </w:p>
    <w:p>
      <w:pPr>
        <w:pStyle w:val="8"/>
        <w:pageBreakBefore w:val="0"/>
        <w:tabs>
          <w:tab w:val="right" w:leader="dot" w:pos="8306"/>
        </w:tabs>
        <w:kinsoku/>
        <w:wordWrap/>
        <w:overflowPunct/>
        <w:topLinePunct w:val="0"/>
        <w:bidi w:val="0"/>
        <w:adjustRightInd w:val="0"/>
        <w:snapToGrid w:val="0"/>
        <w:spacing w:before="0" w:line="560" w:lineRule="exact"/>
        <w:rPr>
          <w:rFonts w:hint="eastAsia" w:ascii="仿宋_GB2312" w:hAnsi="仿宋_GB2312" w:eastAsia="仿宋_GB2312" w:cs="仿宋_GB2312"/>
          <w:b w:val="0"/>
          <w:bCs w:val="0"/>
          <w:sz w:val="28"/>
          <w:szCs w:val="28"/>
          <w:lang w:eastAsia="zh-CN"/>
        </w:rPr>
      </w:pPr>
      <w:r>
        <w:fldChar w:fldCharType="begin"/>
      </w:r>
      <w:r>
        <w:instrText xml:space="preserve"> HYPERLINK \l "_Toc26817" </w:instrText>
      </w:r>
      <w:r>
        <w:fldChar w:fldCharType="separate"/>
      </w:r>
      <w:r>
        <w:rPr>
          <w:rFonts w:hint="eastAsia" w:ascii="仿宋_GB2312" w:hAnsi="仿宋_GB2312" w:eastAsia="仿宋_GB2312" w:cs="仿宋_GB2312"/>
          <w:b w:val="0"/>
          <w:bCs w:val="0"/>
          <w:sz w:val="28"/>
          <w:szCs w:val="28"/>
        </w:rPr>
        <w:t>三、支出决算表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lang w:val="en-US" w:eastAsia="zh-CN"/>
        </w:rPr>
        <w:t>2</w:t>
      </w:r>
    </w:p>
    <w:p>
      <w:pPr>
        <w:pStyle w:val="8"/>
        <w:pageBreakBefore w:val="0"/>
        <w:tabs>
          <w:tab w:val="right" w:leader="dot" w:pos="8306"/>
        </w:tabs>
        <w:kinsoku/>
        <w:wordWrap/>
        <w:overflowPunct/>
        <w:topLinePunct w:val="0"/>
        <w:bidi w:val="0"/>
        <w:adjustRightInd w:val="0"/>
        <w:snapToGrid w:val="0"/>
        <w:spacing w:before="0" w:line="560" w:lineRule="exact"/>
        <w:rPr>
          <w:rFonts w:hint="eastAsia" w:ascii="仿宋_GB2312" w:hAnsi="仿宋_GB2312" w:eastAsia="仿宋_GB2312" w:cs="仿宋_GB2312"/>
          <w:b w:val="0"/>
          <w:bCs w:val="0"/>
          <w:sz w:val="28"/>
          <w:szCs w:val="28"/>
          <w:lang w:eastAsia="zh-CN"/>
        </w:rPr>
      </w:pPr>
      <w:r>
        <w:fldChar w:fldCharType="begin"/>
      </w:r>
      <w:r>
        <w:instrText xml:space="preserve"> HYPERLINK \l "_Toc21747" </w:instrText>
      </w:r>
      <w:r>
        <w:fldChar w:fldCharType="separate"/>
      </w:r>
      <w:r>
        <w:rPr>
          <w:rFonts w:hint="eastAsia" w:ascii="仿宋_GB2312" w:hAnsi="仿宋_GB2312" w:eastAsia="仿宋_GB2312" w:cs="仿宋_GB2312"/>
          <w:b w:val="0"/>
          <w:bCs w:val="0"/>
          <w:sz w:val="28"/>
          <w:szCs w:val="28"/>
        </w:rPr>
        <w:t>四、财政拨款收入支出决算总表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lang w:val="en-US" w:eastAsia="zh-CN"/>
        </w:rPr>
        <w:t>2</w:t>
      </w:r>
    </w:p>
    <w:p>
      <w:pPr>
        <w:pStyle w:val="8"/>
        <w:pageBreakBefore w:val="0"/>
        <w:tabs>
          <w:tab w:val="right" w:leader="dot" w:pos="8306"/>
        </w:tabs>
        <w:kinsoku/>
        <w:wordWrap/>
        <w:overflowPunct/>
        <w:topLinePunct w:val="0"/>
        <w:bidi w:val="0"/>
        <w:adjustRightInd w:val="0"/>
        <w:snapToGrid w:val="0"/>
        <w:spacing w:before="0" w:line="560" w:lineRule="exact"/>
        <w:rPr>
          <w:rFonts w:hint="eastAsia" w:ascii="仿宋_GB2312" w:hAnsi="仿宋_GB2312" w:eastAsia="仿宋_GB2312" w:cs="仿宋_GB2312"/>
          <w:b w:val="0"/>
          <w:bCs w:val="0"/>
          <w:sz w:val="28"/>
          <w:szCs w:val="28"/>
          <w:lang w:eastAsia="zh-CN"/>
        </w:rPr>
      </w:pPr>
      <w:r>
        <w:fldChar w:fldCharType="begin"/>
      </w:r>
      <w:r>
        <w:instrText xml:space="preserve"> HYPERLINK \l "_Toc12959" </w:instrText>
      </w:r>
      <w:r>
        <w:fldChar w:fldCharType="separate"/>
      </w:r>
      <w:r>
        <w:rPr>
          <w:rFonts w:hint="eastAsia" w:ascii="仿宋_GB2312" w:hAnsi="仿宋_GB2312" w:eastAsia="仿宋_GB2312" w:cs="仿宋_GB2312"/>
          <w:b w:val="0"/>
          <w:bCs w:val="0"/>
          <w:sz w:val="28"/>
          <w:szCs w:val="28"/>
        </w:rPr>
        <w:t>五、财政拨款支出决算明细表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lang w:val="en-US" w:eastAsia="zh-CN"/>
        </w:rPr>
        <w:t>2</w:t>
      </w:r>
    </w:p>
    <w:p>
      <w:pPr>
        <w:pStyle w:val="8"/>
        <w:pageBreakBefore w:val="0"/>
        <w:tabs>
          <w:tab w:val="right" w:leader="dot" w:pos="8306"/>
        </w:tabs>
        <w:kinsoku/>
        <w:wordWrap/>
        <w:overflowPunct/>
        <w:topLinePunct w:val="0"/>
        <w:bidi w:val="0"/>
        <w:adjustRightInd w:val="0"/>
        <w:snapToGrid w:val="0"/>
        <w:spacing w:before="0" w:line="560" w:lineRule="exact"/>
        <w:rPr>
          <w:rFonts w:hint="eastAsia" w:ascii="仿宋_GB2312" w:hAnsi="仿宋_GB2312" w:eastAsia="仿宋_GB2312" w:cs="仿宋_GB2312"/>
          <w:b w:val="0"/>
          <w:bCs w:val="0"/>
          <w:sz w:val="28"/>
          <w:szCs w:val="28"/>
          <w:lang w:eastAsia="zh-CN"/>
        </w:rPr>
      </w:pPr>
      <w:r>
        <w:fldChar w:fldCharType="begin"/>
      </w:r>
      <w:r>
        <w:instrText xml:space="preserve"> HYPERLINK \l "_Toc23749" </w:instrText>
      </w:r>
      <w:r>
        <w:fldChar w:fldCharType="separate"/>
      </w:r>
      <w:r>
        <w:rPr>
          <w:rFonts w:hint="eastAsia" w:ascii="仿宋_GB2312" w:hAnsi="仿宋_GB2312" w:eastAsia="仿宋_GB2312" w:cs="仿宋_GB2312"/>
          <w:b w:val="0"/>
          <w:bCs w:val="0"/>
          <w:sz w:val="28"/>
          <w:szCs w:val="28"/>
        </w:rPr>
        <w:t>六、一般公共预算财政拨款支出决算表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lang w:val="en-US" w:eastAsia="zh-CN"/>
        </w:rPr>
        <w:t>2</w:t>
      </w:r>
    </w:p>
    <w:p>
      <w:pPr>
        <w:pStyle w:val="8"/>
        <w:pageBreakBefore w:val="0"/>
        <w:tabs>
          <w:tab w:val="right" w:leader="dot" w:pos="8306"/>
        </w:tabs>
        <w:kinsoku/>
        <w:wordWrap/>
        <w:overflowPunct/>
        <w:topLinePunct w:val="0"/>
        <w:bidi w:val="0"/>
        <w:adjustRightInd w:val="0"/>
        <w:snapToGrid w:val="0"/>
        <w:spacing w:before="0" w:line="560" w:lineRule="exact"/>
        <w:rPr>
          <w:rFonts w:hint="eastAsia" w:ascii="仿宋_GB2312" w:hAnsi="仿宋_GB2312" w:eastAsia="仿宋_GB2312" w:cs="仿宋_GB2312"/>
          <w:b w:val="0"/>
          <w:bCs w:val="0"/>
          <w:sz w:val="28"/>
          <w:szCs w:val="28"/>
          <w:lang w:eastAsia="zh-CN"/>
        </w:rPr>
      </w:pPr>
      <w:r>
        <w:fldChar w:fldCharType="begin"/>
      </w:r>
      <w:r>
        <w:instrText xml:space="preserve"> HYPERLINK \l "_Toc22275" </w:instrText>
      </w:r>
      <w:r>
        <w:fldChar w:fldCharType="separate"/>
      </w:r>
      <w:r>
        <w:rPr>
          <w:rFonts w:hint="eastAsia" w:ascii="仿宋_GB2312" w:hAnsi="仿宋_GB2312" w:eastAsia="仿宋_GB2312" w:cs="仿宋_GB2312"/>
          <w:b w:val="0"/>
          <w:bCs w:val="0"/>
          <w:sz w:val="28"/>
          <w:szCs w:val="28"/>
        </w:rPr>
        <w:t>七、一般公共预算财政拨款支出决算明细表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lang w:val="en-US" w:eastAsia="zh-CN"/>
        </w:rPr>
        <w:t>2</w:t>
      </w:r>
    </w:p>
    <w:p>
      <w:pPr>
        <w:pStyle w:val="8"/>
        <w:pageBreakBefore w:val="0"/>
        <w:tabs>
          <w:tab w:val="right" w:leader="dot" w:pos="8306"/>
        </w:tabs>
        <w:kinsoku/>
        <w:wordWrap/>
        <w:overflowPunct/>
        <w:topLinePunct w:val="0"/>
        <w:bidi w:val="0"/>
        <w:adjustRightInd w:val="0"/>
        <w:snapToGrid w:val="0"/>
        <w:spacing w:before="0" w:line="560" w:lineRule="exact"/>
        <w:rPr>
          <w:rFonts w:hint="eastAsia" w:ascii="仿宋_GB2312" w:hAnsi="仿宋_GB2312" w:eastAsia="仿宋_GB2312" w:cs="仿宋_GB2312"/>
          <w:b w:val="0"/>
          <w:bCs w:val="0"/>
          <w:sz w:val="28"/>
          <w:szCs w:val="28"/>
          <w:lang w:eastAsia="zh-CN"/>
        </w:rPr>
      </w:pPr>
      <w:r>
        <w:fldChar w:fldCharType="begin"/>
      </w:r>
      <w:r>
        <w:instrText xml:space="preserve"> HYPERLINK \l "_Toc30634" </w:instrText>
      </w:r>
      <w:r>
        <w:fldChar w:fldCharType="separate"/>
      </w:r>
      <w:r>
        <w:rPr>
          <w:rFonts w:hint="eastAsia" w:ascii="仿宋_GB2312" w:hAnsi="仿宋_GB2312" w:eastAsia="仿宋_GB2312" w:cs="仿宋_GB2312"/>
          <w:b w:val="0"/>
          <w:bCs w:val="0"/>
          <w:sz w:val="28"/>
          <w:szCs w:val="28"/>
        </w:rPr>
        <w:t>八、一般公共预算财政拨款基本支出决算表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lang w:val="en-US" w:eastAsia="zh-CN"/>
        </w:rPr>
        <w:t>2</w:t>
      </w:r>
    </w:p>
    <w:p>
      <w:pPr>
        <w:pStyle w:val="8"/>
        <w:pageBreakBefore w:val="0"/>
        <w:tabs>
          <w:tab w:val="right" w:leader="dot" w:pos="8306"/>
        </w:tabs>
        <w:kinsoku/>
        <w:wordWrap/>
        <w:overflowPunct/>
        <w:topLinePunct w:val="0"/>
        <w:bidi w:val="0"/>
        <w:adjustRightInd w:val="0"/>
        <w:snapToGrid w:val="0"/>
        <w:spacing w:before="0" w:line="560" w:lineRule="exact"/>
        <w:rPr>
          <w:rFonts w:hint="eastAsia" w:ascii="仿宋_GB2312" w:hAnsi="仿宋_GB2312" w:eastAsia="仿宋_GB2312" w:cs="仿宋_GB2312"/>
          <w:b w:val="0"/>
          <w:bCs w:val="0"/>
          <w:sz w:val="28"/>
          <w:szCs w:val="28"/>
          <w:lang w:eastAsia="zh-CN"/>
        </w:rPr>
      </w:pPr>
      <w:r>
        <w:fldChar w:fldCharType="begin"/>
      </w:r>
      <w:r>
        <w:instrText xml:space="preserve"> HYPERLINK \l "_Toc15170" </w:instrText>
      </w:r>
      <w:r>
        <w:fldChar w:fldCharType="separate"/>
      </w:r>
      <w:r>
        <w:rPr>
          <w:rFonts w:hint="eastAsia" w:ascii="仿宋_GB2312" w:hAnsi="仿宋_GB2312" w:eastAsia="仿宋_GB2312" w:cs="仿宋_GB2312"/>
          <w:b w:val="0"/>
          <w:bCs w:val="0"/>
          <w:sz w:val="28"/>
          <w:szCs w:val="28"/>
        </w:rPr>
        <w:t>九、一般公共预算财政拨款项目支出决算表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lang w:val="en-US" w:eastAsia="zh-CN"/>
        </w:rPr>
        <w:t>2</w:t>
      </w:r>
    </w:p>
    <w:p>
      <w:pPr>
        <w:pStyle w:val="8"/>
        <w:pageBreakBefore w:val="0"/>
        <w:tabs>
          <w:tab w:val="right" w:leader="dot" w:pos="8306"/>
        </w:tabs>
        <w:kinsoku/>
        <w:wordWrap/>
        <w:overflowPunct/>
        <w:topLinePunct w:val="0"/>
        <w:bidi w:val="0"/>
        <w:adjustRightInd w:val="0"/>
        <w:snapToGrid w:val="0"/>
        <w:spacing w:before="0" w:line="560" w:lineRule="exact"/>
        <w:rPr>
          <w:rFonts w:hint="eastAsia" w:ascii="仿宋_GB2312" w:hAnsi="仿宋_GB2312" w:eastAsia="仿宋_GB2312" w:cs="仿宋_GB2312"/>
          <w:b w:val="0"/>
          <w:bCs w:val="0"/>
          <w:sz w:val="28"/>
          <w:szCs w:val="28"/>
          <w:lang w:eastAsia="zh-CN"/>
        </w:rPr>
      </w:pPr>
      <w:r>
        <w:fldChar w:fldCharType="begin"/>
      </w:r>
      <w:r>
        <w:instrText xml:space="preserve"> HYPERLINK \l "_Toc17603" </w:instrText>
      </w:r>
      <w:r>
        <w:fldChar w:fldCharType="separate"/>
      </w:r>
      <w:r>
        <w:rPr>
          <w:rFonts w:hint="eastAsia" w:ascii="仿宋_GB2312" w:hAnsi="仿宋_GB2312" w:eastAsia="仿宋_GB2312" w:cs="仿宋_GB2312"/>
          <w:b w:val="0"/>
          <w:bCs w:val="0"/>
          <w:sz w:val="28"/>
          <w:szCs w:val="28"/>
        </w:rPr>
        <w:t>十、一般公共预算财政拨款“三公”经费支出决算表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lang w:val="en-US" w:eastAsia="zh-CN"/>
        </w:rPr>
        <w:t>2</w:t>
      </w:r>
    </w:p>
    <w:p>
      <w:pPr>
        <w:pStyle w:val="8"/>
        <w:pageBreakBefore w:val="0"/>
        <w:tabs>
          <w:tab w:val="right" w:leader="dot" w:pos="8306"/>
        </w:tabs>
        <w:kinsoku/>
        <w:wordWrap/>
        <w:overflowPunct/>
        <w:topLinePunct w:val="0"/>
        <w:bidi w:val="0"/>
        <w:adjustRightInd w:val="0"/>
        <w:snapToGrid w:val="0"/>
        <w:spacing w:before="0" w:line="560" w:lineRule="exact"/>
        <w:rPr>
          <w:rFonts w:hint="eastAsia" w:ascii="仿宋_GB2312" w:hAnsi="仿宋_GB2312" w:eastAsia="仿宋_GB2312" w:cs="仿宋_GB2312"/>
          <w:b w:val="0"/>
          <w:bCs w:val="0"/>
          <w:sz w:val="28"/>
          <w:szCs w:val="28"/>
          <w:lang w:eastAsia="zh-CN"/>
        </w:rPr>
      </w:pPr>
      <w:r>
        <w:fldChar w:fldCharType="begin"/>
      </w:r>
      <w:r>
        <w:instrText xml:space="preserve"> HYPERLINK \l "_Toc7313" </w:instrText>
      </w:r>
      <w:r>
        <w:fldChar w:fldCharType="separate"/>
      </w:r>
      <w:r>
        <w:rPr>
          <w:rFonts w:hint="eastAsia" w:ascii="仿宋_GB2312" w:hAnsi="仿宋_GB2312" w:eastAsia="仿宋_GB2312" w:cs="仿宋_GB2312"/>
          <w:b w:val="0"/>
          <w:bCs w:val="0"/>
          <w:sz w:val="28"/>
          <w:szCs w:val="28"/>
        </w:rPr>
        <w:t>十一、政府性基金预算财政拨款收入支出决算表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lang w:val="en-US" w:eastAsia="zh-CN"/>
        </w:rPr>
        <w:t>2</w:t>
      </w:r>
    </w:p>
    <w:p>
      <w:pPr>
        <w:pStyle w:val="8"/>
        <w:pageBreakBefore w:val="0"/>
        <w:tabs>
          <w:tab w:val="right" w:leader="dot" w:pos="8306"/>
        </w:tabs>
        <w:kinsoku/>
        <w:wordWrap/>
        <w:overflowPunct/>
        <w:topLinePunct w:val="0"/>
        <w:bidi w:val="0"/>
        <w:adjustRightInd w:val="0"/>
        <w:snapToGrid w:val="0"/>
        <w:spacing w:before="0" w:line="560" w:lineRule="exact"/>
        <w:rPr>
          <w:rFonts w:hint="eastAsia" w:ascii="仿宋_GB2312" w:hAnsi="仿宋_GB2312" w:eastAsia="仿宋_GB2312" w:cs="仿宋_GB2312"/>
          <w:b w:val="0"/>
          <w:bCs w:val="0"/>
          <w:sz w:val="28"/>
          <w:szCs w:val="28"/>
          <w:lang w:eastAsia="zh-CN"/>
        </w:rPr>
      </w:pPr>
      <w:r>
        <w:fldChar w:fldCharType="begin"/>
      </w:r>
      <w:r>
        <w:instrText xml:space="preserve"> HYPERLINK \l "_Toc9382" </w:instrText>
      </w:r>
      <w:r>
        <w:fldChar w:fldCharType="separate"/>
      </w:r>
      <w:r>
        <w:rPr>
          <w:rFonts w:hint="eastAsia" w:ascii="仿宋_GB2312" w:hAnsi="仿宋_GB2312" w:eastAsia="仿宋_GB2312" w:cs="仿宋_GB2312"/>
          <w:b w:val="0"/>
          <w:bCs w:val="0"/>
          <w:sz w:val="28"/>
          <w:szCs w:val="28"/>
        </w:rPr>
        <w:t>十二、政府性基金预算财政拨款“三公”经费支出决算表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lang w:val="en-US" w:eastAsia="zh-CN"/>
        </w:rPr>
        <w:t>2</w:t>
      </w:r>
    </w:p>
    <w:p>
      <w:pPr>
        <w:pStyle w:val="8"/>
        <w:pageBreakBefore w:val="0"/>
        <w:tabs>
          <w:tab w:val="right" w:leader="dot" w:pos="8306"/>
        </w:tabs>
        <w:kinsoku/>
        <w:wordWrap/>
        <w:overflowPunct/>
        <w:topLinePunct w:val="0"/>
        <w:bidi w:val="0"/>
        <w:adjustRightInd w:val="0"/>
        <w:snapToGrid w:val="0"/>
        <w:spacing w:before="0" w:line="560" w:lineRule="exact"/>
        <w:rPr>
          <w:rFonts w:hint="eastAsia" w:ascii="仿宋_GB2312" w:hAnsi="仿宋_GB2312" w:eastAsia="仿宋_GB2312" w:cs="仿宋_GB2312"/>
          <w:b w:val="0"/>
          <w:bCs w:val="0"/>
          <w:sz w:val="28"/>
          <w:szCs w:val="28"/>
          <w:lang w:eastAsia="zh-CN"/>
        </w:rPr>
      </w:pPr>
      <w:r>
        <w:fldChar w:fldCharType="begin"/>
      </w:r>
      <w:r>
        <w:instrText xml:space="preserve"> HYPERLINK \l "_Toc22683" </w:instrText>
      </w:r>
      <w:r>
        <w:fldChar w:fldCharType="separate"/>
      </w:r>
      <w:r>
        <w:rPr>
          <w:rFonts w:hint="eastAsia" w:ascii="仿宋_GB2312" w:hAnsi="仿宋_GB2312" w:eastAsia="仿宋_GB2312" w:cs="仿宋_GB2312"/>
          <w:b w:val="0"/>
          <w:bCs w:val="0"/>
          <w:sz w:val="28"/>
          <w:szCs w:val="28"/>
        </w:rPr>
        <w:t>十三、国有资本经营预算财政拨款收入支出决算表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lang w:val="en-US" w:eastAsia="zh-CN"/>
        </w:rPr>
        <w:t>2</w:t>
      </w:r>
    </w:p>
    <w:p>
      <w:pPr>
        <w:pStyle w:val="8"/>
        <w:pageBreakBefore w:val="0"/>
        <w:tabs>
          <w:tab w:val="right" w:leader="dot" w:pos="8306"/>
        </w:tabs>
        <w:kinsoku/>
        <w:wordWrap/>
        <w:overflowPunct/>
        <w:topLinePunct w:val="0"/>
        <w:bidi w:val="0"/>
        <w:adjustRightInd w:val="0"/>
        <w:snapToGrid w:val="0"/>
        <w:spacing w:before="0" w:line="560" w:lineRule="exact"/>
        <w:rPr>
          <w:rFonts w:hint="eastAsia" w:ascii="仿宋_GB2312" w:hAnsi="仿宋_GB2312" w:eastAsia="仿宋_GB2312" w:cs="仿宋_GB2312"/>
          <w:b w:val="0"/>
          <w:bCs w:val="0"/>
          <w:sz w:val="28"/>
          <w:szCs w:val="28"/>
          <w:lang w:eastAsia="zh-CN"/>
        </w:rPr>
      </w:pPr>
      <w:r>
        <w:fldChar w:fldCharType="begin"/>
      </w:r>
      <w:r>
        <w:instrText xml:space="preserve"> HYPERLINK \l "_Toc10257" </w:instrText>
      </w:r>
      <w:r>
        <w:fldChar w:fldCharType="separate"/>
      </w:r>
      <w:r>
        <w:rPr>
          <w:rFonts w:hint="eastAsia" w:ascii="仿宋_GB2312" w:hAnsi="仿宋_GB2312" w:eastAsia="仿宋_GB2312" w:cs="仿宋_GB2312"/>
          <w:b w:val="0"/>
          <w:bCs w:val="0"/>
          <w:sz w:val="28"/>
          <w:szCs w:val="28"/>
        </w:rPr>
        <w:t>十四、国有资本经营预算财政拨款支出决算表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caps/>
          <w:sz w:val="28"/>
          <w:szCs w:val="28"/>
          <w:lang w:val="en-US" w:eastAsia="zh-CN"/>
        </w:rPr>
        <w:t>2</w:t>
      </w:r>
      <w:bookmarkStart w:id="90" w:name="_GoBack"/>
      <w:bookmarkEnd w:id="90"/>
    </w:p>
    <w:p>
      <w:pPr>
        <w:pageBreakBefore w:val="0"/>
        <w:kinsoku/>
        <w:wordWrap/>
        <w:overflowPunct/>
        <w:topLinePunct w:val="0"/>
        <w:bidi w:val="0"/>
        <w:adjustRightInd w:val="0"/>
        <w:snapToGrid w:val="0"/>
        <w:spacing w:line="560" w:lineRule="exact"/>
        <w:ind w:firstLine="2100" w:firstLineChars="750"/>
        <w:rPr>
          <w:rFonts w:ascii="仿宋_GB2312" w:hAnsi="仿宋"/>
          <w:color w:val="FF0000"/>
          <w:szCs w:val="32"/>
        </w:rPr>
      </w:pPr>
      <w:r>
        <w:rPr>
          <w:rFonts w:hint="eastAsia" w:ascii="仿宋_GB2312" w:hAnsi="仿宋_GB2312" w:cs="仿宋_GB2312"/>
          <w:caps/>
          <w:sz w:val="28"/>
          <w:szCs w:val="28"/>
        </w:rPr>
        <w:fldChar w:fldCharType="end"/>
      </w:r>
    </w:p>
    <w:p>
      <w:pPr>
        <w:pageBreakBefore w:val="0"/>
        <w:kinsoku/>
        <w:wordWrap/>
        <w:overflowPunct/>
        <w:topLinePunct w:val="0"/>
        <w:bidi w:val="0"/>
        <w:adjustRightInd w:val="0"/>
        <w:snapToGrid w:val="0"/>
        <w:spacing w:line="560" w:lineRule="exact"/>
      </w:pPr>
      <w:r>
        <w:br w:type="page"/>
      </w:r>
    </w:p>
    <w:p>
      <w:pPr>
        <w:pStyle w:val="3"/>
        <w:pageBreakBefore w:val="0"/>
        <w:kinsoku/>
        <w:wordWrap/>
        <w:overflowPunct/>
        <w:topLinePunct w:val="0"/>
        <w:bidi w:val="0"/>
        <w:adjustRightInd w:val="0"/>
        <w:snapToGrid w:val="0"/>
        <w:spacing w:before="0" w:line="560" w:lineRule="exact"/>
        <w:jc w:val="center"/>
        <w:rPr>
          <w:rFonts w:ascii="黑体" w:eastAsia="黑体"/>
          <w:color w:val="000000"/>
          <w:sz w:val="32"/>
          <w:szCs w:val="32"/>
        </w:rPr>
      </w:pPr>
      <w:bookmarkStart w:id="0" w:name="_Toc10567"/>
      <w:r>
        <w:rPr>
          <w:rFonts w:hint="eastAsia" w:ascii="黑体" w:hAnsi="黑体" w:eastAsia="黑体"/>
          <w:b w:val="0"/>
        </w:rPr>
        <w:t>第一部分</w:t>
      </w:r>
      <w:r>
        <w:rPr>
          <w:rStyle w:val="13"/>
          <w:rFonts w:hint="eastAsia" w:ascii="黑体" w:hAnsi="黑体" w:eastAsia="黑体"/>
          <w:b w:val="0"/>
          <w:bCs w:val="0"/>
        </w:rPr>
        <w:t>部门概况</w:t>
      </w:r>
      <w:bookmarkEnd w:id="0"/>
    </w:p>
    <w:p>
      <w:pPr>
        <w:pStyle w:val="4"/>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rStyle w:val="14"/>
          <w:rFonts w:hint="eastAsia" w:ascii="黑体" w:hAnsi="黑体" w:eastAsia="黑体"/>
          <w:b w:val="0"/>
          <w:bCs w:val="0"/>
        </w:rPr>
      </w:pPr>
      <w:bookmarkStart w:id="1" w:name="_Toc15377197"/>
      <w:bookmarkStart w:id="2" w:name="_Toc21498"/>
      <w:bookmarkStart w:id="3" w:name="_Toc15396600"/>
      <w:r>
        <w:rPr>
          <w:rFonts w:hint="eastAsia" w:ascii="黑体" w:hAnsi="黑体" w:eastAsia="黑体"/>
          <w:b w:val="0"/>
          <w:color w:val="000000"/>
        </w:rPr>
        <w:t>一、基</w:t>
      </w:r>
      <w:r>
        <w:rPr>
          <w:rStyle w:val="14"/>
          <w:rFonts w:hint="eastAsia" w:ascii="黑体" w:hAnsi="黑体" w:eastAsia="黑体"/>
          <w:b w:val="0"/>
          <w:bCs w:val="0"/>
        </w:rPr>
        <w:t>本职能及主要工作</w:t>
      </w:r>
      <w:bookmarkEnd w:id="1"/>
      <w:bookmarkEnd w:id="2"/>
      <w:bookmarkEnd w:id="3"/>
      <w:bookmarkStart w:id="4" w:name="_Toc15377198"/>
      <w:bookmarkStart w:id="5" w:name="_Toc15378445"/>
    </w:p>
    <w:p>
      <w:pPr>
        <w:pStyle w:val="4"/>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rFonts w:hint="eastAsia" w:ascii="楷体_GB2312" w:hAnsi="楷体_GB2312" w:eastAsia="楷体_GB2312" w:cs="楷体_GB2312"/>
          <w:b w:val="0"/>
          <w:bCs w:val="0"/>
          <w:color w:val="000000"/>
          <w:sz w:val="32"/>
          <w:szCs w:val="32"/>
        </w:rPr>
      </w:pPr>
      <w:r>
        <w:rPr>
          <w:rFonts w:hint="eastAsia" w:ascii="楷体_GB2312" w:hAnsi="楷体_GB2312" w:eastAsia="楷体_GB2312" w:cs="楷体_GB2312"/>
          <w:b w:val="0"/>
          <w:bCs w:val="0"/>
          <w:color w:val="000000"/>
          <w:sz w:val="32"/>
          <w:szCs w:val="32"/>
        </w:rPr>
        <w:t>（一）主要职能</w:t>
      </w:r>
      <w:bookmarkEnd w:id="4"/>
      <w:bookmarkEnd w:id="5"/>
    </w:p>
    <w:p>
      <w:pPr>
        <w:pStyle w:val="4"/>
        <w:pageBreakBefore w:val="0"/>
        <w:widowControl w:val="0"/>
        <w:kinsoku/>
        <w:wordWrap/>
        <w:overflowPunct/>
        <w:topLinePunct w:val="0"/>
        <w:autoSpaceDE/>
        <w:autoSpaceDN/>
        <w:bidi w:val="0"/>
        <w:adjustRightInd w:val="0"/>
        <w:snapToGrid w:val="0"/>
        <w:spacing w:before="0" w:after="0" w:line="560" w:lineRule="exact"/>
        <w:ind w:firstLine="672" w:firstLineChars="200"/>
        <w:textAlignment w:val="auto"/>
        <w:rPr>
          <w:rFonts w:ascii="仿宋_GB2312" w:hAnsi="Verdana"/>
          <w:b w:val="0"/>
          <w:bCs w:val="0"/>
          <w:color w:val="525252"/>
          <w:spacing w:val="8"/>
          <w:szCs w:val="32"/>
        </w:rPr>
      </w:pPr>
      <w:r>
        <w:rPr>
          <w:rFonts w:hint="eastAsia" w:ascii="仿宋_GB2312" w:hAnsi="Verdana"/>
          <w:b w:val="0"/>
          <w:bCs w:val="0"/>
          <w:color w:val="525252"/>
          <w:spacing w:val="8"/>
          <w:szCs w:val="32"/>
        </w:rPr>
        <w:t>1</w:t>
      </w:r>
      <w:r>
        <w:rPr>
          <w:rFonts w:hint="eastAsia" w:ascii="仿宋_GB2312" w:hAnsi="Verdana"/>
          <w:b w:val="0"/>
          <w:bCs w:val="0"/>
          <w:color w:val="525252"/>
          <w:spacing w:val="8"/>
          <w:szCs w:val="32"/>
          <w:lang w:val="en-US" w:eastAsia="zh-CN"/>
        </w:rPr>
        <w:t>.</w:t>
      </w:r>
      <w:r>
        <w:rPr>
          <w:rFonts w:hint="eastAsia" w:ascii="仿宋_GB2312" w:hAnsi="Verdana"/>
          <w:b w:val="0"/>
          <w:bCs w:val="0"/>
          <w:color w:val="525252"/>
          <w:spacing w:val="8"/>
          <w:szCs w:val="32"/>
        </w:rPr>
        <w:t>贯彻执行国家有关交通运输工作的方针、政策和法律、法规。研究制定全区公路、水路的发展战略并监督实施，组织编制综合运输体系规划，参与拟订促进全区物流业发展有关交通政策并指导实施。</w:t>
      </w:r>
    </w:p>
    <w:p>
      <w:pPr>
        <w:pageBreakBefore w:val="0"/>
        <w:widowControl w:val="0"/>
        <w:kinsoku/>
        <w:wordWrap/>
        <w:overflowPunct/>
        <w:topLinePunct w:val="0"/>
        <w:autoSpaceDE/>
        <w:autoSpaceDN/>
        <w:bidi w:val="0"/>
        <w:adjustRightInd w:val="0"/>
        <w:snapToGrid w:val="0"/>
        <w:spacing w:line="560" w:lineRule="exact"/>
        <w:ind w:firstLine="672" w:firstLineChars="200"/>
        <w:textAlignment w:val="auto"/>
        <w:rPr>
          <w:rFonts w:ascii="仿宋_GB2312" w:hAnsi="Verdana"/>
          <w:color w:val="525252"/>
          <w:spacing w:val="8"/>
          <w:szCs w:val="32"/>
        </w:rPr>
      </w:pPr>
      <w:r>
        <w:rPr>
          <w:rFonts w:hint="eastAsia" w:ascii="仿宋_GB2312" w:hAnsi="Verdana"/>
          <w:color w:val="525252"/>
          <w:spacing w:val="8"/>
          <w:szCs w:val="32"/>
        </w:rPr>
        <w:t>2</w:t>
      </w:r>
      <w:r>
        <w:rPr>
          <w:rFonts w:hint="eastAsia" w:ascii="仿宋_GB2312" w:hAnsi="Verdana"/>
          <w:color w:val="525252"/>
          <w:spacing w:val="8"/>
          <w:szCs w:val="32"/>
          <w:lang w:val="en-US" w:eastAsia="zh-CN"/>
        </w:rPr>
        <w:t>.</w:t>
      </w:r>
      <w:r>
        <w:rPr>
          <w:rFonts w:hint="eastAsia" w:ascii="仿宋_GB2312" w:hAnsi="Verdana"/>
          <w:color w:val="525252"/>
          <w:spacing w:val="8"/>
          <w:szCs w:val="32"/>
        </w:rPr>
        <w:t>负责本系统、本部门依法行政执法工作，落实行政执法责任制。指导全区公路、水路行业有关体制改革工作。</w:t>
      </w:r>
    </w:p>
    <w:p>
      <w:pPr>
        <w:pageBreakBefore w:val="0"/>
        <w:widowControl w:val="0"/>
        <w:kinsoku/>
        <w:wordWrap/>
        <w:overflowPunct/>
        <w:topLinePunct w:val="0"/>
        <w:autoSpaceDE/>
        <w:autoSpaceDN/>
        <w:bidi w:val="0"/>
        <w:adjustRightInd w:val="0"/>
        <w:snapToGrid w:val="0"/>
        <w:spacing w:line="560" w:lineRule="exact"/>
        <w:ind w:firstLine="672" w:firstLineChars="200"/>
        <w:textAlignment w:val="auto"/>
        <w:rPr>
          <w:rFonts w:ascii="仿宋_GB2312" w:hAnsi="Verdana"/>
          <w:color w:val="525252"/>
          <w:spacing w:val="8"/>
          <w:szCs w:val="32"/>
        </w:rPr>
      </w:pPr>
      <w:r>
        <w:rPr>
          <w:rFonts w:hint="eastAsia" w:ascii="仿宋_GB2312" w:hAnsi="Verdana"/>
          <w:color w:val="525252"/>
          <w:spacing w:val="8"/>
          <w:szCs w:val="32"/>
        </w:rPr>
        <w:t>3</w:t>
      </w:r>
      <w:r>
        <w:rPr>
          <w:rFonts w:hint="eastAsia" w:ascii="仿宋_GB2312" w:hAnsi="Verdana"/>
          <w:color w:val="525252"/>
          <w:spacing w:val="8"/>
          <w:szCs w:val="32"/>
          <w:lang w:val="en-US" w:eastAsia="zh-CN"/>
        </w:rPr>
        <w:t>.</w:t>
      </w:r>
      <w:r>
        <w:rPr>
          <w:rFonts w:hint="eastAsia" w:ascii="仿宋_GB2312" w:hAnsi="Verdana"/>
          <w:color w:val="525252"/>
          <w:spacing w:val="8"/>
          <w:szCs w:val="32"/>
        </w:rPr>
        <w:t>负责全区公路、水路运输市场监管。制定道路、水路运输相关政策和运营规范并监督实施；协助、协调公共交通和出租汽车行业管理工作。</w:t>
      </w:r>
    </w:p>
    <w:p>
      <w:pPr>
        <w:pageBreakBefore w:val="0"/>
        <w:widowControl w:val="0"/>
        <w:kinsoku/>
        <w:wordWrap/>
        <w:overflowPunct/>
        <w:topLinePunct w:val="0"/>
        <w:autoSpaceDE/>
        <w:autoSpaceDN/>
        <w:bidi w:val="0"/>
        <w:adjustRightInd w:val="0"/>
        <w:snapToGrid w:val="0"/>
        <w:spacing w:line="560" w:lineRule="exact"/>
        <w:ind w:firstLine="672" w:firstLineChars="200"/>
        <w:textAlignment w:val="auto"/>
        <w:rPr>
          <w:rFonts w:ascii="仿宋_GB2312" w:hAnsi="Verdana"/>
          <w:color w:val="525252"/>
          <w:spacing w:val="8"/>
          <w:szCs w:val="32"/>
        </w:rPr>
      </w:pPr>
      <w:r>
        <w:rPr>
          <w:rFonts w:hint="eastAsia" w:ascii="仿宋_GB2312" w:hAnsi="Verdana"/>
          <w:color w:val="525252"/>
          <w:spacing w:val="8"/>
          <w:szCs w:val="32"/>
        </w:rPr>
        <w:t>4</w:t>
      </w:r>
      <w:r>
        <w:rPr>
          <w:rFonts w:hint="eastAsia" w:ascii="仿宋_GB2312" w:hAnsi="Verdana"/>
          <w:color w:val="525252"/>
          <w:spacing w:val="8"/>
          <w:szCs w:val="32"/>
          <w:lang w:val="en-US" w:eastAsia="zh-CN"/>
        </w:rPr>
        <w:t>.</w:t>
      </w:r>
      <w:r>
        <w:rPr>
          <w:rFonts w:hint="eastAsia" w:ascii="仿宋_GB2312" w:hAnsi="Verdana"/>
          <w:color w:val="525252"/>
          <w:spacing w:val="8"/>
          <w:szCs w:val="32"/>
        </w:rPr>
        <w:t>负责全区（管养）公路、水运建设市场监管。监督实施公路、水路工程建设相关政策、制度、技术标准，组织协调公路、水路有关重点工程建设和工程质量、安全生产监督管理工作，指导交通基础设施管理和维护，承担有关重要设施的管理和维护。负责渡口、码头规划和管理工作，指导交通运输行业特许经营管理。</w:t>
      </w:r>
    </w:p>
    <w:p>
      <w:pPr>
        <w:pageBreakBefore w:val="0"/>
        <w:widowControl w:val="0"/>
        <w:kinsoku/>
        <w:wordWrap/>
        <w:overflowPunct/>
        <w:topLinePunct w:val="0"/>
        <w:autoSpaceDE/>
        <w:autoSpaceDN/>
        <w:bidi w:val="0"/>
        <w:adjustRightInd w:val="0"/>
        <w:snapToGrid w:val="0"/>
        <w:spacing w:line="560" w:lineRule="exact"/>
        <w:ind w:firstLine="672" w:firstLineChars="200"/>
        <w:textAlignment w:val="auto"/>
        <w:rPr>
          <w:rFonts w:ascii="仿宋_GB2312" w:hAnsi="Verdana"/>
          <w:color w:val="525252"/>
          <w:spacing w:val="8"/>
          <w:szCs w:val="32"/>
        </w:rPr>
      </w:pPr>
      <w:r>
        <w:rPr>
          <w:rFonts w:hint="eastAsia" w:ascii="仿宋_GB2312" w:hAnsi="Verdana"/>
          <w:color w:val="525252"/>
          <w:spacing w:val="8"/>
          <w:szCs w:val="32"/>
        </w:rPr>
        <w:t>5</w:t>
      </w:r>
      <w:r>
        <w:rPr>
          <w:rFonts w:hint="eastAsia" w:ascii="仿宋_GB2312" w:hAnsi="Verdana"/>
          <w:color w:val="525252"/>
          <w:spacing w:val="8"/>
          <w:szCs w:val="32"/>
          <w:lang w:val="en-US" w:eastAsia="zh-CN"/>
        </w:rPr>
        <w:t>.</w:t>
      </w:r>
      <w:r>
        <w:rPr>
          <w:rFonts w:hint="eastAsia" w:ascii="仿宋_GB2312" w:hAnsi="Verdana"/>
          <w:color w:val="525252"/>
          <w:spacing w:val="8"/>
          <w:szCs w:val="32"/>
        </w:rPr>
        <w:t>负责水上交通安全监管。指导水上交通安全事故、船舶及相关水上设施污染事故的应急处理，依法组织或参与事故调查处理工作。指导公路、水路行业安全生产和应急管理工作。组织协调国家、省、市和区重点物资和紧急客货运输。组织协调地方交通战备工作。</w:t>
      </w:r>
    </w:p>
    <w:p>
      <w:pPr>
        <w:pageBreakBefore w:val="0"/>
        <w:widowControl w:val="0"/>
        <w:kinsoku/>
        <w:wordWrap/>
        <w:overflowPunct/>
        <w:topLinePunct w:val="0"/>
        <w:autoSpaceDE/>
        <w:autoSpaceDN/>
        <w:bidi w:val="0"/>
        <w:adjustRightInd w:val="0"/>
        <w:snapToGrid w:val="0"/>
        <w:spacing w:line="560" w:lineRule="exact"/>
        <w:ind w:firstLine="672" w:firstLineChars="200"/>
        <w:textAlignment w:val="auto"/>
        <w:rPr>
          <w:rFonts w:ascii="仿宋_GB2312" w:hAnsi="Verdana"/>
          <w:color w:val="525252"/>
          <w:spacing w:val="8"/>
          <w:szCs w:val="32"/>
        </w:rPr>
      </w:pPr>
      <w:r>
        <w:rPr>
          <w:rFonts w:hint="eastAsia" w:ascii="仿宋_GB2312" w:hAnsi="Verdana"/>
          <w:color w:val="525252"/>
          <w:spacing w:val="8"/>
          <w:szCs w:val="32"/>
        </w:rPr>
        <w:t>6</w:t>
      </w:r>
      <w:r>
        <w:rPr>
          <w:rFonts w:hint="eastAsia" w:ascii="仿宋_GB2312" w:hAnsi="Verdana"/>
          <w:color w:val="525252"/>
          <w:spacing w:val="8"/>
          <w:szCs w:val="32"/>
          <w:lang w:val="en-US" w:eastAsia="zh-CN"/>
        </w:rPr>
        <w:t>.</w:t>
      </w:r>
      <w:r>
        <w:rPr>
          <w:rFonts w:hint="eastAsia" w:ascii="仿宋_GB2312" w:hAnsi="Verdana"/>
          <w:color w:val="525252"/>
          <w:spacing w:val="8"/>
          <w:szCs w:val="32"/>
        </w:rPr>
        <w:t>负责交通固定资产投资项目的编制及监督实施；负责交通建设资金的筹集与管理，监督管理交通运输行业国有资产，指导交通运输行业的内部审计工作。</w:t>
      </w:r>
    </w:p>
    <w:p>
      <w:pPr>
        <w:pageBreakBefore w:val="0"/>
        <w:widowControl w:val="0"/>
        <w:kinsoku/>
        <w:wordWrap/>
        <w:overflowPunct/>
        <w:topLinePunct w:val="0"/>
        <w:autoSpaceDE/>
        <w:autoSpaceDN/>
        <w:bidi w:val="0"/>
        <w:adjustRightInd w:val="0"/>
        <w:snapToGrid w:val="0"/>
        <w:spacing w:line="560" w:lineRule="exact"/>
        <w:ind w:firstLine="672" w:firstLineChars="200"/>
        <w:textAlignment w:val="auto"/>
        <w:rPr>
          <w:rFonts w:ascii="仿宋_GB2312" w:hAnsi="Verdana"/>
          <w:color w:val="525252"/>
          <w:spacing w:val="8"/>
          <w:szCs w:val="32"/>
        </w:rPr>
      </w:pPr>
      <w:r>
        <w:rPr>
          <w:rFonts w:hint="eastAsia" w:ascii="仿宋_GB2312" w:hAnsi="Verdana"/>
          <w:color w:val="525252"/>
          <w:spacing w:val="8"/>
          <w:szCs w:val="32"/>
        </w:rPr>
        <w:t>7</w:t>
      </w:r>
      <w:r>
        <w:rPr>
          <w:rFonts w:hint="eastAsia" w:ascii="仿宋_GB2312" w:hAnsi="Verdana"/>
          <w:color w:val="525252"/>
          <w:spacing w:val="8"/>
          <w:szCs w:val="32"/>
          <w:lang w:val="en-US" w:eastAsia="zh-CN"/>
        </w:rPr>
        <w:t>.</w:t>
      </w:r>
      <w:r>
        <w:rPr>
          <w:rFonts w:hint="eastAsia" w:ascii="仿宋_GB2312" w:hAnsi="Verdana"/>
          <w:color w:val="525252"/>
          <w:spacing w:val="8"/>
          <w:szCs w:val="32"/>
        </w:rPr>
        <w:t>贯彻执行国家、省、市和区交通运输科技政策，组织科技开发和应用，指导全区交通运输信息化建设，开展相关统计工作。</w:t>
      </w:r>
    </w:p>
    <w:p>
      <w:pPr>
        <w:pageBreakBefore w:val="0"/>
        <w:widowControl w:val="0"/>
        <w:kinsoku/>
        <w:wordWrap/>
        <w:overflowPunct/>
        <w:topLinePunct w:val="0"/>
        <w:autoSpaceDE/>
        <w:autoSpaceDN/>
        <w:bidi w:val="0"/>
        <w:adjustRightInd w:val="0"/>
        <w:snapToGrid w:val="0"/>
        <w:spacing w:line="560" w:lineRule="exact"/>
        <w:ind w:firstLine="672" w:firstLineChars="200"/>
        <w:textAlignment w:val="auto"/>
        <w:rPr>
          <w:rFonts w:ascii="仿宋_GB2312" w:hAnsi="Verdana"/>
          <w:color w:val="525252"/>
          <w:spacing w:val="8"/>
          <w:szCs w:val="32"/>
        </w:rPr>
      </w:pPr>
      <w:r>
        <w:rPr>
          <w:rFonts w:hint="eastAsia" w:ascii="仿宋_GB2312" w:hAnsi="Verdana"/>
          <w:color w:val="525252"/>
          <w:spacing w:val="8"/>
          <w:szCs w:val="32"/>
        </w:rPr>
        <w:t>8</w:t>
      </w:r>
      <w:r>
        <w:rPr>
          <w:rFonts w:hint="eastAsia" w:ascii="仿宋_GB2312" w:hAnsi="Verdana"/>
          <w:color w:val="525252"/>
          <w:spacing w:val="8"/>
          <w:szCs w:val="32"/>
          <w:lang w:val="en-US" w:eastAsia="zh-CN"/>
        </w:rPr>
        <w:t>.</w:t>
      </w:r>
      <w:r>
        <w:rPr>
          <w:rFonts w:hint="eastAsia" w:ascii="仿宋_GB2312" w:hAnsi="Verdana"/>
          <w:color w:val="525252"/>
          <w:spacing w:val="8"/>
          <w:szCs w:val="32"/>
        </w:rPr>
        <w:t>承担由市、区政府公布的有关行政审批事项。</w:t>
      </w:r>
    </w:p>
    <w:p>
      <w:pPr>
        <w:pageBreakBefore w:val="0"/>
        <w:widowControl w:val="0"/>
        <w:kinsoku/>
        <w:wordWrap/>
        <w:overflowPunct/>
        <w:topLinePunct w:val="0"/>
        <w:autoSpaceDE/>
        <w:autoSpaceDN/>
        <w:bidi w:val="0"/>
        <w:adjustRightInd w:val="0"/>
        <w:snapToGrid w:val="0"/>
        <w:spacing w:line="560" w:lineRule="exact"/>
        <w:ind w:firstLine="672" w:firstLineChars="200"/>
        <w:textAlignment w:val="auto"/>
        <w:rPr>
          <w:rFonts w:ascii="仿宋" w:hAnsi="仿宋" w:eastAsia="仿宋"/>
          <w:bCs/>
          <w:color w:val="000000"/>
          <w:szCs w:val="32"/>
        </w:rPr>
      </w:pPr>
      <w:r>
        <w:rPr>
          <w:rFonts w:hint="eastAsia" w:ascii="仿宋_GB2312" w:hAnsi="Verdana"/>
          <w:color w:val="525252"/>
          <w:spacing w:val="8"/>
          <w:szCs w:val="32"/>
        </w:rPr>
        <w:t>9</w:t>
      </w:r>
      <w:r>
        <w:rPr>
          <w:rFonts w:hint="eastAsia" w:ascii="仿宋_GB2312" w:hAnsi="Verdana"/>
          <w:color w:val="525252"/>
          <w:spacing w:val="8"/>
          <w:szCs w:val="32"/>
          <w:lang w:val="en-US" w:eastAsia="zh-CN"/>
        </w:rPr>
        <w:t>.</w:t>
      </w:r>
      <w:r>
        <w:rPr>
          <w:rFonts w:hint="eastAsia" w:ascii="仿宋_GB2312" w:hAnsi="Verdana"/>
          <w:color w:val="525252"/>
          <w:spacing w:val="8"/>
          <w:szCs w:val="32"/>
        </w:rPr>
        <w:t>承办区政府交办的其他事项。</w:t>
      </w:r>
    </w:p>
    <w:p>
      <w:pPr>
        <w:pStyle w:val="4"/>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rFonts w:hint="eastAsia" w:ascii="楷体_GB2312" w:hAnsi="楷体_GB2312" w:eastAsia="楷体_GB2312" w:cs="楷体_GB2312"/>
          <w:b w:val="0"/>
          <w:bCs w:val="0"/>
          <w:color w:val="000000"/>
          <w:sz w:val="32"/>
          <w:szCs w:val="32"/>
        </w:rPr>
      </w:pPr>
      <w:bookmarkStart w:id="6" w:name="_Toc15378446"/>
      <w:bookmarkStart w:id="7" w:name="_Toc15377199"/>
      <w:r>
        <w:rPr>
          <w:rFonts w:hint="eastAsia" w:ascii="楷体_GB2312" w:hAnsi="楷体_GB2312" w:eastAsia="楷体_GB2312" w:cs="楷体_GB2312"/>
          <w:b w:val="0"/>
          <w:bCs w:val="0"/>
          <w:color w:val="000000"/>
          <w:sz w:val="32"/>
          <w:szCs w:val="32"/>
        </w:rPr>
        <w:t>（二）2020年重点工作完成情况</w:t>
      </w:r>
      <w:bookmarkEnd w:id="6"/>
      <w:bookmarkEnd w:id="7"/>
    </w:p>
    <w:p>
      <w:pPr>
        <w:pStyle w:val="4"/>
        <w:pageBreakBefore w:val="0"/>
        <w:widowControl w:val="0"/>
        <w:kinsoku/>
        <w:wordWrap/>
        <w:overflowPunct/>
        <w:topLinePunct w:val="0"/>
        <w:autoSpaceDE/>
        <w:autoSpaceDN/>
        <w:bidi w:val="0"/>
        <w:adjustRightInd w:val="0"/>
        <w:snapToGrid w:val="0"/>
        <w:spacing w:before="0" w:after="0" w:line="560" w:lineRule="exact"/>
        <w:ind w:firstLine="643" w:firstLineChars="200"/>
        <w:textAlignment w:val="auto"/>
        <w:rPr>
          <w:rFonts w:ascii="仿宋_GB2312" w:hAnsi="仿宋_GB2312" w:cs="仿宋_GB2312"/>
          <w:b w:val="0"/>
          <w:bCs w:val="0"/>
          <w:kern w:val="0"/>
          <w:szCs w:val="32"/>
        </w:rPr>
      </w:pPr>
      <w:r>
        <w:rPr>
          <w:rFonts w:hint="eastAsia" w:ascii="仿宋_GB2312" w:hAnsi="仿宋_GB2312" w:cs="仿宋_GB2312"/>
          <w:b/>
          <w:bCs/>
          <w:szCs w:val="32"/>
        </w:rPr>
        <w:t>1.稳步有序实施重大项目。</w:t>
      </w:r>
      <w:r>
        <w:rPr>
          <w:rFonts w:hint="eastAsia" w:ascii="仿宋_GB2312" w:hAnsi="仿宋_GB2312" w:cs="仿宋_GB2312"/>
          <w:b w:val="0"/>
          <w:bCs w:val="0"/>
          <w:szCs w:val="32"/>
        </w:rPr>
        <w:t>S309乐自高速贡井连接线项目除收费站部分外所有道路建设、绿化、路灯工程及相关附属工程已全部完成。新建收费站及附属管理用房设计图纸已完成省交通运输厅及第三方审图公司专家评审，相关施工单位已经先期进场，正在对地下管道等前期准备工作施工。自隆高速连接线（贡井段）拆迁和清表等工作已基本完成,并正在进行施工便道的建设。</w:t>
      </w:r>
      <w:r>
        <w:rPr>
          <w:rFonts w:hint="eastAsia" w:ascii="仿宋_GB2312" w:hAnsi="仿宋_GB2312" w:cs="仿宋_GB2312"/>
          <w:b w:val="0"/>
          <w:bCs w:val="0"/>
          <w:kern w:val="0"/>
          <w:szCs w:val="32"/>
        </w:rPr>
        <w:t>自泸公路贡井连接线项目已完成前期工作，正在等待市局统一协调推进。</w:t>
      </w:r>
    </w:p>
    <w:p>
      <w:pPr>
        <w:pStyle w:val="17"/>
        <w:pageBreakBefore w:val="0"/>
        <w:widowControl w:val="0"/>
        <w:kinsoku/>
        <w:wordWrap/>
        <w:overflowPunct/>
        <w:topLinePunct w:val="0"/>
        <w:autoSpaceDE/>
        <w:autoSpaceDN/>
        <w:bidi w:val="0"/>
        <w:adjustRightInd w:val="0"/>
        <w:snapToGrid w:val="0"/>
        <w:spacing w:line="560" w:lineRule="exact"/>
        <w:ind w:left="0" w:leftChars="0" w:firstLine="643" w:firstLineChars="200"/>
        <w:textAlignment w:val="auto"/>
        <w:rPr>
          <w:rFonts w:ascii="仿宋_GB2312" w:hAnsi="仿宋_GB2312" w:cs="仿宋_GB2312"/>
          <w:szCs w:val="32"/>
        </w:rPr>
      </w:pPr>
      <w:r>
        <w:rPr>
          <w:rFonts w:hint="eastAsia" w:ascii="仿宋_GB2312" w:hAnsi="仿宋_GB2312" w:cs="仿宋_GB2312"/>
          <w:b/>
          <w:bCs/>
          <w:szCs w:val="32"/>
        </w:rPr>
        <w:t>2.高效推进农村公路建设。</w:t>
      </w:r>
      <w:r>
        <w:rPr>
          <w:rFonts w:hint="eastAsia" w:ascii="仿宋_GB2312" w:hAnsi="仿宋_GB2312" w:cs="仿宋_GB2312"/>
          <w:szCs w:val="32"/>
        </w:rPr>
        <w:t>桥头省级现代农业园培育产业道路、日月彩虹、莲花牛尾彩色生态公园产业道路55公里已完工；莲花镇至农团乡重要乡镇连接道路（羊叉河至三棵麻柳树）10公里、高黎路（沙溪口至牛尾乡段）16公里全部建成通车；五莲路完成路基拓宽调型涵洞工程，水稳铺筑完成；桥头旭水河大桥</w:t>
      </w:r>
      <w:r>
        <w:rPr>
          <w:rFonts w:hint="eastAsia" w:ascii="仿宋_GB2312" w:hAnsi="仿宋_GB2312" w:cs="仿宋_GB2312"/>
          <w:szCs w:val="32"/>
          <w:lang w:eastAsia="zh-CN"/>
        </w:rPr>
        <w:t>即将</w:t>
      </w:r>
      <w:r>
        <w:rPr>
          <w:rFonts w:hint="eastAsia" w:ascii="仿宋_GB2312" w:hAnsi="仿宋_GB2312" w:cs="仿宋_GB2312"/>
          <w:szCs w:val="32"/>
        </w:rPr>
        <w:t>招投标。</w:t>
      </w:r>
    </w:p>
    <w:p>
      <w:pPr>
        <w:pageBreakBefore w:val="0"/>
        <w:kinsoku/>
        <w:wordWrap/>
        <w:overflowPunct/>
        <w:topLinePunct w:val="0"/>
        <w:bidi w:val="0"/>
        <w:adjustRightInd w:val="0"/>
        <w:snapToGrid w:val="0"/>
        <w:spacing w:line="560" w:lineRule="exact"/>
        <w:ind w:firstLine="643" w:firstLineChars="200"/>
        <w:rPr>
          <w:rFonts w:ascii="仿宋_GB2312" w:hAnsi="仿宋_GB2312" w:cs="仿宋_GB2312"/>
          <w:szCs w:val="32"/>
        </w:rPr>
      </w:pPr>
      <w:r>
        <w:rPr>
          <w:rFonts w:hint="eastAsia" w:ascii="仿宋_GB2312" w:hAnsi="仿宋_GB2312" w:cs="仿宋_GB2312"/>
          <w:b/>
          <w:bCs/>
          <w:szCs w:val="32"/>
        </w:rPr>
        <w:t>3.其他重点任务。一是</w:t>
      </w:r>
      <w:r>
        <w:rPr>
          <w:rFonts w:hint="eastAsia" w:ascii="仿宋_GB2312" w:hAnsi="仿宋_GB2312" w:cs="仿宋_GB2312"/>
          <w:szCs w:val="32"/>
        </w:rPr>
        <w:t>疫情防控。自春节起，牵头在区内交通要道设体温检测站2个，累计派出500余人次，检查107416人，检查车辆53763台。</w:t>
      </w:r>
      <w:r>
        <w:rPr>
          <w:rFonts w:hint="eastAsia" w:ascii="仿宋_GB2312" w:hAnsi="仿宋_GB2312" w:cs="仿宋_GB2312"/>
          <w:b/>
          <w:bCs/>
          <w:szCs w:val="32"/>
        </w:rPr>
        <w:t>二是</w:t>
      </w:r>
      <w:r>
        <w:rPr>
          <w:rFonts w:hint="eastAsia" w:ascii="仿宋_GB2312" w:hAnsi="仿宋_GB2312" w:cs="仿宋_GB2312"/>
          <w:szCs w:val="32"/>
        </w:rPr>
        <w:t>全力推进“两通”工作，推进“金通”工程，彻底实现全区建制村通硬化路和通客车率100%。</w:t>
      </w:r>
      <w:r>
        <w:rPr>
          <w:rFonts w:hint="eastAsia" w:ascii="仿宋_GB2312" w:hAnsi="仿宋_GB2312" w:cs="仿宋_GB2312"/>
          <w:b/>
          <w:bCs/>
          <w:szCs w:val="32"/>
        </w:rPr>
        <w:t>三是</w:t>
      </w:r>
      <w:r>
        <w:rPr>
          <w:rFonts w:hint="eastAsia" w:ascii="仿宋_GB2312" w:hAnsi="仿宋_GB2312" w:cs="仿宋_GB2312"/>
          <w:szCs w:val="32"/>
        </w:rPr>
        <w:t>深化“扫黑除恶”专项斗争。联合相关单位出动1600余人次，出动检查车辆398台次，查处黑车及其他违规车辆79台。注重疏堵结合，调整公交路线3条，投入6辆小型客车开通响应式客车服务，联合省汽运集团为贡井三中学生精心定制4条专线。</w:t>
      </w:r>
    </w:p>
    <w:p>
      <w:pPr>
        <w:pStyle w:val="17"/>
        <w:pageBreakBefore w:val="0"/>
        <w:kinsoku/>
        <w:wordWrap/>
        <w:overflowPunct/>
        <w:topLinePunct w:val="0"/>
        <w:autoSpaceDE/>
        <w:autoSpaceDN/>
        <w:bidi w:val="0"/>
        <w:adjustRightInd w:val="0"/>
        <w:snapToGrid w:val="0"/>
        <w:spacing w:line="560" w:lineRule="exact"/>
        <w:ind w:left="0" w:firstLine="642"/>
        <w:textAlignment w:val="auto"/>
        <w:rPr>
          <w:rFonts w:hint="eastAsia" w:ascii="仿宋_GB2312" w:hAnsi="仿宋_GB2312" w:cs="仿宋_GB2312"/>
          <w:szCs w:val="32"/>
        </w:rPr>
      </w:pPr>
      <w:r>
        <w:rPr>
          <w:rFonts w:hint="eastAsia" w:ascii="仿宋_GB2312" w:hAnsi="仿宋_GB2312" w:cs="仿宋_GB2312"/>
          <w:b/>
          <w:bCs/>
          <w:szCs w:val="32"/>
        </w:rPr>
        <w:t>4.党的建设高质发展。一是</w:t>
      </w:r>
      <w:r>
        <w:rPr>
          <w:rFonts w:hint="eastAsia" w:ascii="仿宋_GB2312" w:hAnsi="仿宋_GB2312" w:cs="仿宋_GB2312"/>
          <w:szCs w:val="32"/>
        </w:rPr>
        <w:t>严格落实规定动作。以典型案例为教材，进行警示教育2次，讲廉政党课2次，开展廉政谈话60余人次，开展主题党日活动11次，召开党员大会3次，开展重大决策合法性审查5次，通过多渠道公开信息60余条。</w:t>
      </w:r>
      <w:r>
        <w:rPr>
          <w:rFonts w:hint="eastAsia" w:ascii="仿宋_GB2312" w:hAnsi="仿宋_GB2312" w:cs="仿宋_GB2312"/>
          <w:b/>
          <w:bCs/>
          <w:szCs w:val="32"/>
        </w:rPr>
        <w:t>二是</w:t>
      </w:r>
      <w:r>
        <w:rPr>
          <w:rFonts w:hint="eastAsia" w:ascii="仿宋_GB2312" w:hAnsi="仿宋_GB2312" w:cs="仿宋_GB2312"/>
          <w:szCs w:val="32"/>
        </w:rPr>
        <w:t>加强基层党组织建设。疫情防控期间，组织交通、卫健、公安等系统的107名党员成立贡井区交通运输疫情防控党员联合突击队，带头坚守31天。养护段支部新发展对象3人，积极分子1人。</w:t>
      </w:r>
      <w:r>
        <w:rPr>
          <w:rFonts w:hint="eastAsia" w:ascii="仿宋_GB2312" w:hAnsi="仿宋_GB2312" w:cs="仿宋_GB2312"/>
          <w:b/>
          <w:bCs/>
          <w:szCs w:val="32"/>
        </w:rPr>
        <w:t>三是</w:t>
      </w:r>
      <w:r>
        <w:rPr>
          <w:rFonts w:hint="eastAsia" w:ascii="仿宋_GB2312" w:hAnsi="仿宋_GB2312" w:cs="仿宋_GB2312"/>
          <w:szCs w:val="32"/>
        </w:rPr>
        <w:t>认真接受区委巡察。认真配合接受了区委第一巡察组为期半个月的巡察“回头看”，全面梳理检查了2017年巡察整改情况及2017-2019年党建工作，针对巡察反馈的12个问题，召开了专题民主生活会，制定落实了整改方案，有序推进整改工作。</w:t>
      </w:r>
      <w:r>
        <w:rPr>
          <w:rFonts w:hint="eastAsia" w:ascii="仿宋_GB2312" w:hAnsi="仿宋_GB2312" w:cs="仿宋_GB2312"/>
          <w:b/>
          <w:bCs/>
          <w:szCs w:val="32"/>
        </w:rPr>
        <w:t>四是</w:t>
      </w:r>
      <w:r>
        <w:rPr>
          <w:rFonts w:hint="eastAsia" w:ascii="仿宋_GB2312" w:hAnsi="仿宋_GB2312" w:cs="仿宋_GB2312"/>
          <w:szCs w:val="32"/>
        </w:rPr>
        <w:t>精心开展帮扶工作，对贫困群众10户进行了走访慰问，慰问物资及现金合计3900元。同时对帮扶村落实2公里村道硬化项目储备，落实建档立卡贫困户住房安全保障，帮助贫困户实施住房提升改造项目。</w:t>
      </w:r>
      <w:bookmarkStart w:id="8" w:name="_Toc6092"/>
      <w:bookmarkStart w:id="9" w:name="_Toc15377200"/>
      <w:bookmarkStart w:id="10" w:name="_Toc15396601"/>
    </w:p>
    <w:p>
      <w:pPr>
        <w:pStyle w:val="17"/>
        <w:pageBreakBefore w:val="0"/>
        <w:kinsoku/>
        <w:wordWrap/>
        <w:overflowPunct/>
        <w:topLinePunct w:val="0"/>
        <w:autoSpaceDE/>
        <w:autoSpaceDN/>
        <w:bidi w:val="0"/>
        <w:adjustRightInd w:val="0"/>
        <w:snapToGrid w:val="0"/>
        <w:spacing w:line="560" w:lineRule="exact"/>
        <w:ind w:left="0" w:firstLine="642"/>
        <w:textAlignment w:val="auto"/>
        <w:rPr>
          <w:rStyle w:val="14"/>
          <w:rFonts w:hint="eastAsia" w:ascii="黑体" w:hAnsi="黑体" w:eastAsia="黑体"/>
          <w:b w:val="0"/>
          <w:bCs w:val="0"/>
        </w:rPr>
      </w:pPr>
      <w:r>
        <w:rPr>
          <w:rFonts w:hint="eastAsia" w:ascii="黑体" w:eastAsia="黑体"/>
          <w:b w:val="0"/>
          <w:color w:val="000000"/>
        </w:rPr>
        <w:t>二、</w:t>
      </w:r>
      <w:r>
        <w:rPr>
          <w:rFonts w:hint="eastAsia" w:ascii="黑体" w:hAnsi="黑体" w:eastAsia="黑体"/>
          <w:b w:val="0"/>
          <w:color w:val="000000"/>
        </w:rPr>
        <w:t>机</w:t>
      </w:r>
      <w:r>
        <w:rPr>
          <w:rStyle w:val="14"/>
          <w:rFonts w:hint="eastAsia" w:ascii="黑体" w:hAnsi="黑体" w:eastAsia="黑体"/>
          <w:b w:val="0"/>
          <w:bCs w:val="0"/>
        </w:rPr>
        <w:t>构设置</w:t>
      </w:r>
      <w:bookmarkEnd w:id="8"/>
      <w:bookmarkEnd w:id="9"/>
      <w:bookmarkEnd w:id="10"/>
    </w:p>
    <w:p>
      <w:pPr>
        <w:pStyle w:val="17"/>
        <w:pageBreakBefore w:val="0"/>
        <w:kinsoku/>
        <w:wordWrap/>
        <w:overflowPunct/>
        <w:topLinePunct w:val="0"/>
        <w:autoSpaceDE/>
        <w:autoSpaceDN/>
        <w:bidi w:val="0"/>
        <w:adjustRightInd w:val="0"/>
        <w:snapToGrid w:val="0"/>
        <w:spacing w:line="560" w:lineRule="exact"/>
        <w:ind w:left="0" w:firstLine="640" w:firstLineChars="200"/>
        <w:textAlignment w:val="auto"/>
        <w:rPr>
          <w:rFonts w:hint="eastAsia" w:ascii="仿宋_GB2312" w:hAnsi="仿宋_GB2312" w:cs="仿宋_GB2312"/>
          <w:szCs w:val="32"/>
        </w:rPr>
      </w:pPr>
      <w:r>
        <w:rPr>
          <w:rFonts w:hint="eastAsia" w:ascii="仿宋_GB2312" w:hAnsi="仿宋_GB2312" w:cs="仿宋_GB2312"/>
          <w:szCs w:val="32"/>
          <w:lang w:eastAsia="zh-CN"/>
        </w:rPr>
        <w:t>自贡市</w:t>
      </w:r>
      <w:r>
        <w:rPr>
          <w:rFonts w:hint="eastAsia" w:ascii="仿宋_GB2312" w:hAnsi="仿宋_GB2312" w:cs="仿宋_GB2312"/>
          <w:szCs w:val="32"/>
        </w:rPr>
        <w:t>贡井区交通</w:t>
      </w:r>
      <w:r>
        <w:rPr>
          <w:rFonts w:hint="eastAsia" w:ascii="仿宋_GB2312" w:hAnsi="仿宋_GB2312" w:cs="仿宋_GB2312"/>
          <w:szCs w:val="32"/>
          <w:lang w:eastAsia="zh-CN"/>
        </w:rPr>
        <w:t>运输局本级（以下简称交通局（本级</w:t>
      </w:r>
      <w:r>
        <w:rPr>
          <w:rFonts w:hint="eastAsia" w:ascii="仿宋_GB2312" w:hAnsi="仿宋_GB2312" w:cs="仿宋_GB2312"/>
          <w:szCs w:val="32"/>
          <w:lang w:val="en-US" w:eastAsia="zh-CN"/>
        </w:rPr>
        <w:t>)</w:t>
      </w:r>
      <w:r>
        <w:rPr>
          <w:rFonts w:hint="eastAsia" w:ascii="仿宋_GB2312" w:hAnsi="仿宋_GB2312" w:cs="仿宋_GB2312"/>
          <w:szCs w:val="32"/>
        </w:rPr>
        <w:t>下属二级单位</w:t>
      </w:r>
      <w:r>
        <w:rPr>
          <w:rFonts w:hint="eastAsia" w:ascii="仿宋_GB2312" w:hAnsi="仿宋_GB2312" w:cs="仿宋_GB2312"/>
          <w:szCs w:val="32"/>
          <w:lang w:val="en-US" w:eastAsia="zh-CN"/>
        </w:rPr>
        <w:t>1</w:t>
      </w:r>
      <w:r>
        <w:rPr>
          <w:rFonts w:hint="eastAsia" w:ascii="仿宋_GB2312" w:hAnsi="仿宋_GB2312" w:cs="仿宋_GB2312"/>
          <w:szCs w:val="32"/>
        </w:rPr>
        <w:t>个，其中行政单位1个，参照公务员法管理的事业单位</w:t>
      </w:r>
      <w:r>
        <w:rPr>
          <w:rFonts w:hint="eastAsia" w:ascii="仿宋_GB2312" w:hAnsi="仿宋_GB2312" w:cs="仿宋_GB2312"/>
          <w:szCs w:val="32"/>
          <w:lang w:val="en-US" w:eastAsia="zh-CN"/>
        </w:rPr>
        <w:t>0</w:t>
      </w:r>
      <w:r>
        <w:rPr>
          <w:rFonts w:hint="eastAsia" w:ascii="仿宋_GB2312" w:hAnsi="仿宋_GB2312" w:cs="仿宋_GB2312"/>
          <w:szCs w:val="32"/>
        </w:rPr>
        <w:t>个，其他事业单位</w:t>
      </w:r>
      <w:r>
        <w:rPr>
          <w:rFonts w:hint="eastAsia" w:ascii="仿宋_GB2312" w:hAnsi="仿宋_GB2312" w:cs="仿宋_GB2312"/>
          <w:szCs w:val="32"/>
          <w:lang w:val="en-US" w:eastAsia="zh-CN"/>
        </w:rPr>
        <w:t>0</w:t>
      </w:r>
      <w:r>
        <w:rPr>
          <w:rFonts w:hint="eastAsia" w:ascii="仿宋_GB2312" w:hAnsi="仿宋_GB2312" w:cs="仿宋_GB2312"/>
          <w:szCs w:val="32"/>
        </w:rPr>
        <w:t>个。</w:t>
      </w:r>
    </w:p>
    <w:p>
      <w:pPr>
        <w:pStyle w:val="17"/>
        <w:pageBreakBefore w:val="0"/>
        <w:kinsoku/>
        <w:wordWrap/>
        <w:overflowPunct/>
        <w:topLinePunct w:val="0"/>
        <w:autoSpaceDE/>
        <w:autoSpaceDN/>
        <w:bidi w:val="0"/>
        <w:adjustRightInd w:val="0"/>
        <w:snapToGrid w:val="0"/>
        <w:spacing w:line="560" w:lineRule="exact"/>
        <w:ind w:left="0" w:firstLine="640" w:firstLineChars="200"/>
        <w:textAlignment w:val="auto"/>
        <w:rPr>
          <w:rFonts w:hint="eastAsia" w:ascii="仿宋_GB2312" w:hAnsi="仿宋_GB2312" w:cs="仿宋_GB2312"/>
          <w:szCs w:val="32"/>
        </w:rPr>
      </w:pPr>
      <w:r>
        <w:rPr>
          <w:rFonts w:hint="eastAsia" w:ascii="仿宋_GB2312" w:hAnsi="仿宋_GB2312" w:cs="仿宋_GB2312"/>
          <w:szCs w:val="32"/>
        </w:rPr>
        <w:t>纳入</w:t>
      </w:r>
      <w:r>
        <w:rPr>
          <w:rFonts w:hint="eastAsia" w:ascii="仿宋_GB2312" w:hAnsi="仿宋_GB2312" w:cs="仿宋_GB2312"/>
          <w:szCs w:val="32"/>
          <w:lang w:eastAsia="zh-CN"/>
        </w:rPr>
        <w:t>交通局（本级</w:t>
      </w:r>
      <w:r>
        <w:rPr>
          <w:rFonts w:hint="eastAsia" w:ascii="仿宋_GB2312" w:hAnsi="仿宋_GB2312" w:cs="仿宋_GB2312"/>
          <w:szCs w:val="32"/>
          <w:lang w:val="en-US" w:eastAsia="zh-CN"/>
        </w:rPr>
        <w:t>)</w:t>
      </w:r>
      <w:r>
        <w:rPr>
          <w:rFonts w:hint="eastAsia" w:ascii="仿宋_GB2312" w:hAnsi="仿宋_GB2312" w:cs="仿宋_GB2312"/>
          <w:szCs w:val="32"/>
        </w:rPr>
        <w:t>2020年度部门决算编制范围的二级预算单位包括：</w:t>
      </w:r>
    </w:p>
    <w:p>
      <w:pPr>
        <w:pStyle w:val="17"/>
        <w:pageBreakBefore w:val="0"/>
        <w:kinsoku/>
        <w:wordWrap/>
        <w:overflowPunct/>
        <w:topLinePunct w:val="0"/>
        <w:autoSpaceDE/>
        <w:autoSpaceDN/>
        <w:bidi w:val="0"/>
        <w:adjustRightInd w:val="0"/>
        <w:snapToGrid w:val="0"/>
        <w:spacing w:line="560" w:lineRule="exact"/>
        <w:ind w:left="0" w:firstLine="640" w:firstLineChars="200"/>
        <w:textAlignment w:val="auto"/>
        <w:rPr>
          <w:rFonts w:hint="eastAsia" w:ascii="仿宋_GB2312" w:hAnsi="仿宋_GB2312" w:cs="仿宋_GB2312"/>
          <w:szCs w:val="32"/>
        </w:rPr>
      </w:pPr>
      <w:r>
        <w:rPr>
          <w:rFonts w:hint="eastAsia" w:ascii="仿宋_GB2312" w:hAnsi="仿宋_GB2312" w:cs="仿宋_GB2312"/>
          <w:szCs w:val="32"/>
          <w:lang w:val="en-US" w:eastAsia="zh-CN"/>
        </w:rPr>
        <w:t>1.</w:t>
      </w:r>
      <w:r>
        <w:rPr>
          <w:rFonts w:hint="eastAsia" w:ascii="仿宋_GB2312" w:hAnsi="仿宋_GB2312" w:cs="仿宋_GB2312"/>
          <w:szCs w:val="32"/>
        </w:rPr>
        <w:t>自贡市贡井区交通运输局（本级）</w:t>
      </w:r>
    </w:p>
    <w:p>
      <w:pPr>
        <w:pStyle w:val="17"/>
        <w:pageBreakBefore w:val="0"/>
        <w:kinsoku/>
        <w:wordWrap/>
        <w:overflowPunct/>
        <w:topLinePunct w:val="0"/>
        <w:autoSpaceDE/>
        <w:autoSpaceDN/>
        <w:bidi w:val="0"/>
        <w:adjustRightInd w:val="0"/>
        <w:snapToGrid w:val="0"/>
        <w:spacing w:line="560" w:lineRule="exact"/>
        <w:ind w:left="0"/>
        <w:textAlignment w:val="auto"/>
        <w:rPr>
          <w:rFonts w:hint="eastAsia" w:ascii="仿宋_GB2312" w:hAnsi="仿宋_GB2312" w:cs="仿宋_GB2312"/>
          <w:szCs w:val="32"/>
        </w:rPr>
      </w:pPr>
      <w:r>
        <w:rPr>
          <w:rFonts w:hint="eastAsia" w:ascii="仿宋_GB2312" w:hAnsi="仿宋_GB2312" w:cs="仿宋_GB2312"/>
          <w:szCs w:val="32"/>
        </w:rPr>
        <w:br w:type="page"/>
      </w:r>
    </w:p>
    <w:p>
      <w:pPr>
        <w:pStyle w:val="3"/>
        <w:pageBreakBefore w:val="0"/>
        <w:kinsoku/>
        <w:wordWrap/>
        <w:overflowPunct/>
        <w:topLinePunct w:val="0"/>
        <w:bidi w:val="0"/>
        <w:adjustRightInd w:val="0"/>
        <w:snapToGrid w:val="0"/>
        <w:spacing w:before="0" w:line="560" w:lineRule="exact"/>
        <w:ind w:right="440"/>
        <w:jc w:val="right"/>
        <w:rPr>
          <w:rStyle w:val="13"/>
          <w:rFonts w:ascii="黑体" w:hAnsi="黑体" w:eastAsia="黑体"/>
          <w:b w:val="0"/>
          <w:bCs w:val="0"/>
        </w:rPr>
      </w:pPr>
      <w:bookmarkStart w:id="11" w:name="_Toc15377204"/>
      <w:bookmarkStart w:id="12" w:name="_Toc15396602"/>
      <w:bookmarkStart w:id="13" w:name="_Toc23109"/>
      <w:r>
        <w:rPr>
          <w:rFonts w:hint="eastAsia" w:ascii="黑体" w:hAnsi="黑体" w:eastAsia="黑体"/>
          <w:b w:val="0"/>
          <w:color w:val="000000"/>
        </w:rPr>
        <w:t>第二部分</w:t>
      </w:r>
      <w:r>
        <w:rPr>
          <w:rStyle w:val="13"/>
          <w:rFonts w:ascii="黑体" w:hAnsi="黑体" w:eastAsia="黑体"/>
          <w:b w:val="0"/>
          <w:bCs w:val="0"/>
        </w:rPr>
        <w:t>2020</w:t>
      </w:r>
      <w:r>
        <w:rPr>
          <w:rStyle w:val="13"/>
          <w:rFonts w:hint="eastAsia" w:ascii="黑体" w:hAnsi="黑体" w:eastAsia="黑体"/>
          <w:b w:val="0"/>
          <w:bCs w:val="0"/>
        </w:rPr>
        <w:t>年度部门决算情况说明</w:t>
      </w:r>
      <w:bookmarkEnd w:id="11"/>
      <w:bookmarkEnd w:id="12"/>
      <w:bookmarkEnd w:id="13"/>
    </w:p>
    <w:p>
      <w:pPr>
        <w:pStyle w:val="15"/>
        <w:pageBreakBefore w:val="0"/>
        <w:numPr>
          <w:ilvl w:val="0"/>
          <w:numId w:val="0"/>
        </w:numPr>
        <w:kinsoku/>
        <w:wordWrap/>
        <w:overflowPunct/>
        <w:topLinePunct w:val="0"/>
        <w:bidi w:val="0"/>
        <w:adjustRightInd w:val="0"/>
        <w:snapToGrid w:val="0"/>
        <w:spacing w:line="560" w:lineRule="exact"/>
        <w:ind w:left="640" w:leftChars="0"/>
        <w:outlineLvl w:val="1"/>
        <w:rPr>
          <w:rStyle w:val="14"/>
          <w:rFonts w:ascii="黑体" w:hAnsi="黑体" w:eastAsia="黑体"/>
          <w:b w:val="0"/>
        </w:rPr>
      </w:pPr>
      <w:bookmarkStart w:id="14" w:name="_Toc7163"/>
      <w:bookmarkStart w:id="15" w:name="_Toc15377205"/>
      <w:bookmarkStart w:id="16" w:name="_Toc15396603"/>
      <w:r>
        <w:rPr>
          <w:rFonts w:hint="eastAsia" w:ascii="黑体" w:hAnsi="黑体" w:eastAsia="黑体"/>
          <w:color w:val="000000"/>
          <w:szCs w:val="32"/>
          <w:lang w:eastAsia="zh-CN"/>
        </w:rPr>
        <w:t>一、</w:t>
      </w:r>
      <w:r>
        <w:rPr>
          <w:rFonts w:hint="eastAsia" w:ascii="黑体" w:hAnsi="黑体" w:eastAsia="黑体"/>
          <w:color w:val="000000"/>
          <w:szCs w:val="32"/>
        </w:rPr>
        <w:t>收</w:t>
      </w:r>
      <w:r>
        <w:rPr>
          <w:rStyle w:val="14"/>
          <w:rFonts w:hint="eastAsia" w:ascii="黑体" w:hAnsi="黑体" w:eastAsia="黑体"/>
          <w:b w:val="0"/>
        </w:rPr>
        <w:t>入支出决算总体情况说明</w:t>
      </w:r>
      <w:bookmarkEnd w:id="14"/>
      <w:bookmarkEnd w:id="15"/>
      <w:bookmarkEnd w:id="16"/>
    </w:p>
    <w:p>
      <w:pPr>
        <w:pageBreakBefore w:val="0"/>
        <w:kinsoku/>
        <w:wordWrap/>
        <w:overflowPunct/>
        <w:topLinePunct w:val="0"/>
        <w:bidi w:val="0"/>
        <w:adjustRightInd w:val="0"/>
        <w:snapToGrid w:val="0"/>
        <w:spacing w:line="560" w:lineRule="exact"/>
        <w:ind w:firstLine="640" w:firstLineChars="200"/>
        <w:rPr>
          <w:rFonts w:hint="eastAsia" w:ascii="仿宋_GB2312" w:hAnsi="仿宋_GB2312" w:cs="仿宋_GB2312"/>
          <w:color w:val="auto"/>
          <w:szCs w:val="32"/>
          <w:lang w:eastAsia="zh-CN"/>
        </w:rPr>
      </w:pPr>
      <w:r>
        <w:rPr>
          <w:rFonts w:hint="eastAsia" w:ascii="仿宋_GB2312" w:hAnsi="仿宋_GB2312" w:eastAsia="仿宋_GB2312" w:cs="仿宋_GB2312"/>
          <w:color w:val="auto"/>
          <w:szCs w:val="32"/>
        </w:rPr>
        <w:t>2020年度收、支总计</w:t>
      </w:r>
      <w:r>
        <w:rPr>
          <w:rFonts w:hint="eastAsia" w:ascii="仿宋_GB2312" w:hAnsi="仿宋_GB2312" w:cs="仿宋_GB2312"/>
          <w:color w:val="auto"/>
          <w:szCs w:val="32"/>
          <w:lang w:val="en-US" w:eastAsia="zh-CN"/>
        </w:rPr>
        <w:t>6340.57</w:t>
      </w:r>
      <w:r>
        <w:rPr>
          <w:rFonts w:hint="eastAsia" w:ascii="仿宋_GB2312" w:hAnsi="仿宋_GB2312" w:eastAsia="仿宋_GB2312" w:cs="仿宋_GB2312"/>
          <w:color w:val="auto"/>
          <w:szCs w:val="32"/>
        </w:rPr>
        <w:t>万元。与2019年相比，收、支总计各增加</w:t>
      </w:r>
      <w:r>
        <w:rPr>
          <w:rFonts w:hint="eastAsia" w:ascii="仿宋_GB2312" w:hAnsi="仿宋_GB2312" w:cs="仿宋_GB2312"/>
          <w:color w:val="auto"/>
          <w:szCs w:val="32"/>
          <w:lang w:val="en-US" w:eastAsia="zh-CN"/>
        </w:rPr>
        <w:t>3165.46</w:t>
      </w:r>
      <w:r>
        <w:rPr>
          <w:rFonts w:hint="eastAsia" w:ascii="仿宋_GB2312" w:hAnsi="仿宋_GB2312" w:eastAsia="仿宋_GB2312" w:cs="仿宋_GB2312"/>
          <w:color w:val="auto"/>
          <w:szCs w:val="32"/>
        </w:rPr>
        <w:t>万元，增长</w:t>
      </w:r>
      <w:r>
        <w:rPr>
          <w:rFonts w:hint="eastAsia" w:ascii="仿宋_GB2312" w:hAnsi="仿宋_GB2312" w:cs="仿宋_GB2312"/>
          <w:color w:val="auto"/>
          <w:szCs w:val="32"/>
          <w:lang w:val="en-US" w:eastAsia="zh-CN"/>
        </w:rPr>
        <w:t>99.70</w:t>
      </w:r>
      <w:r>
        <w:rPr>
          <w:rFonts w:hint="eastAsia" w:ascii="仿宋_GB2312" w:hAnsi="仿宋_GB2312" w:eastAsia="仿宋_GB2312" w:cs="仿宋_GB2312"/>
          <w:color w:val="auto"/>
          <w:szCs w:val="32"/>
        </w:rPr>
        <w:t>%。主要变动原因是S309乐自高速贡井连接线新建工程项目土地划拨款增加支出3470.65万元</w:t>
      </w:r>
      <w:r>
        <w:rPr>
          <w:rFonts w:hint="eastAsia" w:ascii="仿宋_GB2312" w:hAnsi="仿宋_GB2312" w:cs="仿宋_GB2312"/>
          <w:color w:val="auto"/>
          <w:szCs w:val="32"/>
          <w:lang w:eastAsia="zh-CN"/>
        </w:rPr>
        <w:t>。</w:t>
      </w:r>
    </w:p>
    <w:p>
      <w:pPr>
        <w:pStyle w:val="1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641" w:leftChars="0"/>
        <w:textAlignment w:val="auto"/>
        <w:outlineLvl w:val="1"/>
        <w:rPr>
          <w:rFonts w:hint="eastAsia" w:ascii="仿宋_GB2312" w:hAnsi="仿宋_GB2312" w:eastAsia="仿宋_GB2312" w:cs="仿宋_GB2312"/>
          <w:color w:val="000000"/>
          <w:szCs w:val="32"/>
        </w:rPr>
      </w:pPr>
      <w:bookmarkStart w:id="17" w:name="_Toc15396604"/>
      <w:bookmarkStart w:id="18" w:name="_Toc15377206"/>
      <w:bookmarkStart w:id="19" w:name="_Toc25258"/>
      <w:r>
        <w:rPr>
          <w:rFonts w:hint="eastAsia" w:ascii="仿宋_GB2312" w:hAnsi="仿宋_GB2312" w:eastAsia="仿宋_GB2312" w:cs="仿宋_GB2312"/>
          <w:color w:val="000000"/>
          <w:szCs w:val="32"/>
        </w:rPr>
        <w:object>
          <v:shape id="_x0000_i1025" o:spt="75" type="#_x0000_t75" style="height:177.3pt;width:318.8pt;" o:ole="t" filled="f" o:preferrelative="t" stroked="f" coordsize="21600,21600">
            <v:path/>
            <v:fill on="f" focussize="0,0"/>
            <v:stroke on="f"/>
            <v:imagedata r:id="rId6" o:title=""/>
            <o:lock v:ext="edit" aspectratio="t"/>
            <w10:wrap type="none"/>
            <w10:anchorlock/>
          </v:shape>
          <o:OLEObject Type="Embed" ProgID="Excel.Chart.8" ShapeID="_x0000_i1025" DrawAspect="Content" ObjectID="_1468075725" r:id="rId5">
            <o:LockedField>false</o:LockedField>
          </o:OLEObject>
        </w:object>
      </w:r>
    </w:p>
    <w:p>
      <w:pPr>
        <w:pageBreakBefore w:val="0"/>
        <w:kinsoku/>
        <w:wordWrap/>
        <w:overflowPunct/>
        <w:topLinePunct w:val="0"/>
        <w:bidi w:val="0"/>
        <w:adjustRightInd w:val="0"/>
        <w:snapToGrid w:val="0"/>
        <w:spacing w:line="560" w:lineRule="exact"/>
        <w:ind w:firstLine="640" w:firstLineChars="200"/>
        <w:rPr>
          <w:rFonts w:ascii="仿宋_GB2312"/>
          <w:color w:val="000000"/>
          <w:szCs w:val="32"/>
        </w:rPr>
      </w:pPr>
      <w:r>
        <w:rPr>
          <w:rFonts w:hint="eastAsia" w:ascii="仿宋" w:hAnsi="仿宋" w:eastAsia="仿宋"/>
          <w:color w:val="000000"/>
          <w:szCs w:val="32"/>
        </w:rPr>
        <w:t>（图</w:t>
      </w:r>
      <w:r>
        <w:rPr>
          <w:rFonts w:ascii="仿宋" w:hAnsi="仿宋" w:eastAsia="仿宋"/>
          <w:color w:val="000000"/>
          <w:szCs w:val="32"/>
        </w:rPr>
        <w:t>1</w:t>
      </w:r>
      <w:r>
        <w:rPr>
          <w:rFonts w:hint="eastAsia" w:ascii="仿宋" w:hAnsi="仿宋" w:eastAsia="仿宋"/>
          <w:color w:val="000000"/>
          <w:szCs w:val="32"/>
        </w:rPr>
        <w:t>：收、支决算总计变动情况图）（柱状图）</w:t>
      </w:r>
    </w:p>
    <w:p>
      <w:pPr>
        <w:pStyle w:val="15"/>
        <w:pageBreakBefore w:val="0"/>
        <w:numPr>
          <w:ilvl w:val="0"/>
          <w:numId w:val="0"/>
        </w:numPr>
        <w:kinsoku/>
        <w:wordWrap/>
        <w:overflowPunct/>
        <w:topLinePunct w:val="0"/>
        <w:bidi w:val="0"/>
        <w:adjustRightInd w:val="0"/>
        <w:snapToGrid w:val="0"/>
        <w:spacing w:line="560" w:lineRule="exact"/>
        <w:ind w:left="640" w:leftChars="0"/>
        <w:outlineLvl w:val="1"/>
        <w:rPr>
          <w:rFonts w:hint="eastAsia" w:ascii="黑体" w:hAnsi="黑体" w:eastAsia="黑体"/>
          <w:color w:val="000000"/>
          <w:szCs w:val="32"/>
          <w:lang w:eastAsia="zh-CN"/>
        </w:rPr>
      </w:pPr>
    </w:p>
    <w:p>
      <w:pPr>
        <w:pStyle w:val="15"/>
        <w:pageBreakBefore w:val="0"/>
        <w:numPr>
          <w:ilvl w:val="0"/>
          <w:numId w:val="0"/>
        </w:numPr>
        <w:kinsoku/>
        <w:wordWrap/>
        <w:overflowPunct/>
        <w:topLinePunct w:val="0"/>
        <w:bidi w:val="0"/>
        <w:adjustRightInd w:val="0"/>
        <w:snapToGrid w:val="0"/>
        <w:spacing w:line="560" w:lineRule="exact"/>
        <w:ind w:left="640" w:leftChars="0"/>
        <w:outlineLvl w:val="1"/>
        <w:rPr>
          <w:rStyle w:val="14"/>
          <w:rFonts w:ascii="黑体" w:hAnsi="黑体" w:eastAsia="黑体"/>
          <w:b w:val="0"/>
        </w:rPr>
      </w:pPr>
      <w:r>
        <w:rPr>
          <w:rFonts w:hint="eastAsia" w:ascii="黑体" w:hAnsi="黑体" w:eastAsia="黑体"/>
          <w:color w:val="000000"/>
          <w:szCs w:val="32"/>
          <w:lang w:eastAsia="zh-CN"/>
        </w:rPr>
        <w:t>二、</w:t>
      </w:r>
      <w:r>
        <w:rPr>
          <w:rFonts w:hint="eastAsia" w:ascii="黑体" w:hAnsi="黑体" w:eastAsia="黑体"/>
          <w:color w:val="000000"/>
          <w:szCs w:val="32"/>
        </w:rPr>
        <w:t>收</w:t>
      </w:r>
      <w:r>
        <w:rPr>
          <w:rStyle w:val="14"/>
          <w:rFonts w:hint="eastAsia" w:ascii="黑体" w:hAnsi="黑体" w:eastAsia="黑体"/>
          <w:b w:val="0"/>
        </w:rPr>
        <w:t>入决算情况说明</w:t>
      </w:r>
      <w:bookmarkEnd w:id="17"/>
      <w:bookmarkEnd w:id="18"/>
      <w:bookmarkEnd w:id="19"/>
    </w:p>
    <w:p>
      <w:pPr>
        <w:pageBreakBefore w:val="0"/>
        <w:kinsoku/>
        <w:wordWrap/>
        <w:overflowPunct/>
        <w:topLinePunct w:val="0"/>
        <w:bidi w:val="0"/>
        <w:adjustRightInd w:val="0"/>
        <w:snapToGrid w:val="0"/>
        <w:spacing w:line="560" w:lineRule="exact"/>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2020年本年收入合计</w:t>
      </w:r>
      <w:r>
        <w:rPr>
          <w:rFonts w:hint="eastAsia" w:ascii="仿宋_GB2312" w:hAnsi="仿宋_GB2312" w:cs="仿宋_GB2312"/>
          <w:color w:val="000000"/>
          <w:szCs w:val="32"/>
          <w:lang w:val="en-US" w:eastAsia="zh-CN"/>
        </w:rPr>
        <w:t>6336.66</w:t>
      </w:r>
      <w:r>
        <w:rPr>
          <w:rFonts w:hint="eastAsia" w:ascii="仿宋_GB2312" w:hAnsi="仿宋_GB2312" w:eastAsia="仿宋_GB2312" w:cs="仿宋_GB2312"/>
          <w:color w:val="000000"/>
          <w:szCs w:val="32"/>
        </w:rPr>
        <w:t>万元，其中：一般公共预算财政拨款收入</w:t>
      </w:r>
      <w:r>
        <w:rPr>
          <w:rFonts w:hint="eastAsia" w:ascii="仿宋_GB2312" w:hAnsi="仿宋_GB2312" w:cs="仿宋_GB2312"/>
          <w:color w:val="000000"/>
          <w:szCs w:val="32"/>
          <w:lang w:val="en-US" w:eastAsia="zh-CN"/>
        </w:rPr>
        <w:t>5882.14</w:t>
      </w:r>
      <w:r>
        <w:rPr>
          <w:rFonts w:hint="eastAsia" w:ascii="仿宋_GB2312" w:hAnsi="仿宋_GB2312" w:eastAsia="仿宋_GB2312" w:cs="仿宋_GB2312"/>
          <w:color w:val="000000"/>
          <w:szCs w:val="32"/>
        </w:rPr>
        <w:t>万元，占</w:t>
      </w:r>
      <w:r>
        <w:rPr>
          <w:rFonts w:hint="eastAsia" w:ascii="仿宋_GB2312" w:hAnsi="仿宋_GB2312" w:cs="仿宋_GB2312"/>
          <w:color w:val="000000"/>
          <w:szCs w:val="32"/>
          <w:lang w:val="en-US" w:eastAsia="zh-CN"/>
        </w:rPr>
        <w:t>92.83</w:t>
      </w:r>
      <w:r>
        <w:rPr>
          <w:rFonts w:hint="eastAsia" w:ascii="仿宋_GB2312" w:hAnsi="仿宋_GB2312" w:eastAsia="仿宋_GB2312" w:cs="仿宋_GB2312"/>
          <w:color w:val="000000"/>
          <w:szCs w:val="32"/>
        </w:rPr>
        <w:t>%；政府性基金预算财政拨款收入</w:t>
      </w:r>
      <w:r>
        <w:rPr>
          <w:rFonts w:hint="eastAsia" w:ascii="仿宋_GB2312" w:hAnsi="仿宋_GB2312" w:cs="仿宋_GB2312"/>
          <w:color w:val="000000"/>
          <w:szCs w:val="32"/>
          <w:lang w:val="en-US" w:eastAsia="zh-CN"/>
        </w:rPr>
        <w:t>454.52</w:t>
      </w:r>
      <w:r>
        <w:rPr>
          <w:rFonts w:hint="eastAsia" w:ascii="仿宋_GB2312" w:hAnsi="仿宋_GB2312" w:eastAsia="仿宋_GB2312" w:cs="仿宋_GB2312"/>
          <w:color w:val="000000"/>
          <w:szCs w:val="32"/>
        </w:rPr>
        <w:t>万元，占</w:t>
      </w:r>
      <w:r>
        <w:rPr>
          <w:rFonts w:hint="eastAsia" w:ascii="仿宋_GB2312" w:hAnsi="仿宋_GB2312" w:cs="仿宋_GB2312"/>
          <w:color w:val="000000"/>
          <w:szCs w:val="32"/>
          <w:lang w:val="en-US" w:eastAsia="zh-CN"/>
        </w:rPr>
        <w:t>7.17</w:t>
      </w:r>
      <w:r>
        <w:rPr>
          <w:rFonts w:hint="eastAsia" w:ascii="仿宋_GB2312" w:hAnsi="仿宋_GB2312" w:eastAsia="仿宋_GB2312" w:cs="仿宋_GB2312"/>
          <w:color w:val="000000"/>
          <w:szCs w:val="32"/>
        </w:rPr>
        <w:t>%；上级补助收入0万元，占0%；事业收入0万元，占0%；经营收入0万元，占0%；附属单位上缴收入0万元，占0%；其他收入0万元，占0%。</w:t>
      </w:r>
    </w:p>
    <w:p>
      <w:pPr>
        <w:keepNext w:val="0"/>
        <w:keepLines w:val="0"/>
        <w:pageBreakBefore w:val="0"/>
        <w:widowControl w:val="0"/>
        <w:kinsoku/>
        <w:wordWrap/>
        <w:overflowPunct/>
        <w:topLinePunct w:val="0"/>
        <w:autoSpaceDE/>
        <w:autoSpaceDN/>
        <w:bidi w:val="0"/>
        <w:adjustRightInd w:val="0"/>
        <w:snapToGrid w:val="0"/>
        <w:spacing w:line="240" w:lineRule="auto"/>
        <w:ind w:left="1920" w:leftChars="200" w:hanging="1280" w:hangingChars="400"/>
        <w:textAlignment w:val="auto"/>
        <w:rPr>
          <w:rFonts w:ascii="仿宋_GB2312"/>
          <w:color w:val="FF0000"/>
          <w:szCs w:val="32"/>
        </w:rPr>
      </w:pPr>
      <w:r>
        <w:rPr>
          <w:rFonts w:hint="eastAsia" w:ascii="仿宋" w:hAnsi="仿宋" w:eastAsia="仿宋"/>
          <w:color w:val="000000"/>
          <w:szCs w:val="32"/>
        </w:rPr>
        <w:object>
          <v:shape id="_x0000_i1026" o:spt="75" type="#_x0000_t75" style="height:142.5pt;width:372pt;" o:ole="t" filled="f" o:preferrelative="t" stroked="f" coordsize="21600,21600">
            <v:path/>
            <v:fill on="f" focussize="0,0"/>
            <v:stroke on="f"/>
            <v:imagedata r:id="rId8" o:title=""/>
            <o:lock v:ext="edit" aspectratio="t"/>
            <w10:wrap type="none"/>
            <w10:anchorlock/>
          </v:shape>
          <o:OLEObject Type="Embed" ProgID="Excel.Chart.8" ShapeID="_x0000_i1026" DrawAspect="Content" ObjectID="_1468075726" r:id="rId7">
            <o:LockedField>false</o:LockedField>
          </o:OLEObject>
        </w:object>
      </w:r>
      <w:r>
        <w:rPr>
          <w:rFonts w:hint="eastAsia" w:ascii="仿宋" w:hAnsi="仿宋" w:eastAsia="仿宋"/>
          <w:color w:val="000000"/>
          <w:szCs w:val="32"/>
        </w:rPr>
        <w:t>（图</w:t>
      </w:r>
      <w:r>
        <w:rPr>
          <w:rFonts w:ascii="仿宋" w:hAnsi="仿宋" w:eastAsia="仿宋"/>
          <w:color w:val="000000"/>
          <w:szCs w:val="32"/>
        </w:rPr>
        <w:t>2</w:t>
      </w:r>
      <w:r>
        <w:rPr>
          <w:rFonts w:hint="eastAsia" w:ascii="仿宋" w:hAnsi="仿宋" w:eastAsia="仿宋"/>
          <w:color w:val="000000"/>
          <w:szCs w:val="32"/>
        </w:rPr>
        <w:t>：收入决算结构图）（饼状图）</w:t>
      </w:r>
    </w:p>
    <w:p>
      <w:pPr>
        <w:pStyle w:val="15"/>
        <w:pageBreakBefore w:val="0"/>
        <w:numPr>
          <w:ilvl w:val="0"/>
          <w:numId w:val="0"/>
        </w:numPr>
        <w:kinsoku/>
        <w:wordWrap/>
        <w:overflowPunct/>
        <w:topLinePunct w:val="0"/>
        <w:bidi w:val="0"/>
        <w:adjustRightInd w:val="0"/>
        <w:snapToGrid w:val="0"/>
        <w:spacing w:line="560" w:lineRule="exact"/>
        <w:ind w:left="640" w:leftChars="0"/>
        <w:outlineLvl w:val="1"/>
        <w:rPr>
          <w:rStyle w:val="14"/>
          <w:rFonts w:ascii="黑体" w:hAnsi="黑体" w:eastAsia="黑体"/>
          <w:b w:val="0"/>
        </w:rPr>
      </w:pPr>
      <w:bookmarkStart w:id="20" w:name="_Toc15396605"/>
      <w:bookmarkStart w:id="21" w:name="_Toc15377207"/>
      <w:bookmarkStart w:id="22" w:name="_Toc13725"/>
      <w:r>
        <w:rPr>
          <w:rFonts w:hint="eastAsia" w:ascii="黑体" w:hAnsi="黑体" w:eastAsia="黑体"/>
          <w:color w:val="000000"/>
          <w:szCs w:val="32"/>
          <w:lang w:eastAsia="zh-CN"/>
        </w:rPr>
        <w:t>三、</w:t>
      </w:r>
      <w:r>
        <w:rPr>
          <w:rFonts w:hint="eastAsia" w:ascii="黑体" w:hAnsi="黑体" w:eastAsia="黑体"/>
          <w:color w:val="000000"/>
          <w:szCs w:val="32"/>
        </w:rPr>
        <w:t>支</w:t>
      </w:r>
      <w:r>
        <w:rPr>
          <w:rStyle w:val="14"/>
          <w:rFonts w:hint="eastAsia" w:ascii="黑体" w:hAnsi="黑体" w:eastAsia="黑体"/>
          <w:b w:val="0"/>
        </w:rPr>
        <w:t>出决算情况说明</w:t>
      </w:r>
      <w:bookmarkEnd w:id="20"/>
      <w:bookmarkEnd w:id="21"/>
      <w:bookmarkEnd w:id="22"/>
    </w:p>
    <w:p>
      <w:pPr>
        <w:pageBreakBefore w:val="0"/>
        <w:kinsoku/>
        <w:wordWrap/>
        <w:overflowPunct/>
        <w:topLinePunct w:val="0"/>
        <w:bidi w:val="0"/>
        <w:adjustRightInd w:val="0"/>
        <w:snapToGrid w:val="0"/>
        <w:spacing w:line="560" w:lineRule="exact"/>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2020年本年支出合计</w:t>
      </w:r>
      <w:r>
        <w:rPr>
          <w:rFonts w:hint="eastAsia" w:ascii="仿宋_GB2312" w:hAnsi="仿宋_GB2312" w:cs="仿宋_GB2312"/>
          <w:color w:val="000000"/>
          <w:szCs w:val="32"/>
          <w:lang w:val="en-US" w:eastAsia="zh-CN"/>
        </w:rPr>
        <w:t>5340.57</w:t>
      </w:r>
      <w:r>
        <w:rPr>
          <w:rFonts w:hint="eastAsia" w:ascii="仿宋_GB2312" w:hAnsi="仿宋_GB2312" w:eastAsia="仿宋_GB2312" w:cs="仿宋_GB2312"/>
          <w:color w:val="000000"/>
          <w:szCs w:val="32"/>
        </w:rPr>
        <w:t>万元，其中：基本支出</w:t>
      </w:r>
      <w:r>
        <w:rPr>
          <w:rFonts w:hint="eastAsia" w:ascii="仿宋_GB2312" w:hAnsi="仿宋_GB2312" w:cs="仿宋_GB2312"/>
          <w:color w:val="000000"/>
          <w:szCs w:val="32"/>
          <w:lang w:val="en-US" w:eastAsia="zh-CN"/>
        </w:rPr>
        <w:t>224.99</w:t>
      </w:r>
      <w:r>
        <w:rPr>
          <w:rFonts w:hint="eastAsia" w:ascii="仿宋_GB2312" w:hAnsi="仿宋_GB2312" w:eastAsia="仿宋_GB2312" w:cs="仿宋_GB2312"/>
          <w:color w:val="000000"/>
          <w:szCs w:val="32"/>
        </w:rPr>
        <w:t>万元，占</w:t>
      </w:r>
      <w:r>
        <w:rPr>
          <w:rFonts w:hint="eastAsia" w:ascii="仿宋_GB2312" w:hAnsi="仿宋_GB2312" w:cs="仿宋_GB2312"/>
          <w:color w:val="000000"/>
          <w:szCs w:val="32"/>
          <w:lang w:val="en-US" w:eastAsia="zh-CN"/>
        </w:rPr>
        <w:t>4.21</w:t>
      </w:r>
      <w:r>
        <w:rPr>
          <w:rFonts w:hint="eastAsia" w:ascii="仿宋_GB2312" w:hAnsi="仿宋_GB2312" w:eastAsia="仿宋_GB2312" w:cs="仿宋_GB2312"/>
          <w:color w:val="000000"/>
          <w:szCs w:val="32"/>
        </w:rPr>
        <w:t>%；项目支出</w:t>
      </w:r>
      <w:r>
        <w:rPr>
          <w:rFonts w:hint="eastAsia" w:ascii="仿宋_GB2312" w:hAnsi="仿宋_GB2312" w:cs="仿宋_GB2312"/>
          <w:color w:val="000000"/>
          <w:szCs w:val="32"/>
          <w:lang w:val="en-US" w:eastAsia="zh-CN"/>
        </w:rPr>
        <w:t>5115.58</w:t>
      </w:r>
      <w:r>
        <w:rPr>
          <w:rFonts w:hint="eastAsia" w:ascii="仿宋_GB2312" w:hAnsi="仿宋_GB2312" w:eastAsia="仿宋_GB2312" w:cs="仿宋_GB2312"/>
          <w:color w:val="000000"/>
          <w:szCs w:val="32"/>
        </w:rPr>
        <w:t>万元，占</w:t>
      </w:r>
      <w:r>
        <w:rPr>
          <w:rFonts w:hint="eastAsia" w:ascii="仿宋_GB2312" w:hAnsi="仿宋_GB2312" w:cs="仿宋_GB2312"/>
          <w:color w:val="000000"/>
          <w:szCs w:val="32"/>
          <w:lang w:val="en-US" w:eastAsia="zh-CN"/>
        </w:rPr>
        <w:t>95.79</w:t>
      </w:r>
      <w:r>
        <w:rPr>
          <w:rFonts w:hint="eastAsia" w:ascii="仿宋_GB2312" w:hAnsi="仿宋_GB2312" w:eastAsia="仿宋_GB2312" w:cs="仿宋_GB2312"/>
          <w:color w:val="000000"/>
          <w:szCs w:val="32"/>
        </w:rPr>
        <w:t>%；上缴上级支出0万元，占0%；经营支出0万元，占0%；对附属单位补助支出0万元，占0%。</w:t>
      </w:r>
    </w:p>
    <w:p>
      <w:pPr>
        <w:keepNext w:val="0"/>
        <w:keepLines w:val="0"/>
        <w:pageBreakBefore w:val="0"/>
        <w:widowControl w:val="0"/>
        <w:kinsoku/>
        <w:wordWrap/>
        <w:overflowPunct/>
        <w:topLinePunct w:val="0"/>
        <w:autoSpaceDE/>
        <w:autoSpaceDN/>
        <w:bidi w:val="0"/>
        <w:adjustRightInd w:val="0"/>
        <w:snapToGrid w:val="0"/>
        <w:spacing w:line="240" w:lineRule="auto"/>
        <w:ind w:firstLine="640" w:firstLineChars="200"/>
        <w:textAlignment w:val="auto"/>
        <w:rPr>
          <w:rFonts w:ascii="仿宋" w:hAnsi="仿宋" w:eastAsia="仿宋"/>
          <w:color w:val="000000"/>
          <w:szCs w:val="32"/>
        </w:rPr>
      </w:pPr>
      <w:r>
        <w:rPr>
          <w:rFonts w:hint="eastAsia" w:ascii="仿宋" w:hAnsi="仿宋" w:eastAsia="仿宋"/>
          <w:color w:val="000000"/>
          <w:szCs w:val="32"/>
        </w:rPr>
        <w:object>
          <v:shape id="_x0000_i1027" o:spt="75" type="#_x0000_t75" style="height:155.25pt;width:327.75pt;" o:ole="t" filled="f" o:preferrelative="t" stroked="f" coordsize="21600,21600">
            <v:path/>
            <v:fill on="f" focussize="0,0"/>
            <v:stroke on="f"/>
            <v:imagedata r:id="rId10" o:title=""/>
            <o:lock v:ext="edit" aspectratio="t"/>
            <w10:wrap type="none"/>
            <w10:anchorlock/>
          </v:shape>
          <o:OLEObject Type="Embed" ProgID="Excel.Chart.8" ShapeID="_x0000_i1027" DrawAspect="Content" ObjectID="_1468075727" r:id="rId9">
            <o:LockedField>false</o:LockedField>
          </o:OLEObject>
        </w:object>
      </w:r>
    </w:p>
    <w:p>
      <w:pPr>
        <w:pageBreakBefore w:val="0"/>
        <w:kinsoku/>
        <w:wordWrap/>
        <w:overflowPunct/>
        <w:topLinePunct w:val="0"/>
        <w:bidi w:val="0"/>
        <w:adjustRightInd w:val="0"/>
        <w:snapToGrid w:val="0"/>
        <w:spacing w:line="560" w:lineRule="exact"/>
        <w:ind w:firstLine="2240" w:firstLineChars="700"/>
        <w:rPr>
          <w:rFonts w:ascii="仿宋_GB2312"/>
          <w:color w:val="FF0000"/>
          <w:szCs w:val="32"/>
        </w:rPr>
      </w:pPr>
      <w:r>
        <w:rPr>
          <w:rFonts w:hint="eastAsia" w:ascii="仿宋" w:hAnsi="仿宋" w:eastAsia="仿宋"/>
          <w:color w:val="000000"/>
          <w:szCs w:val="32"/>
        </w:rPr>
        <w:t>（图</w:t>
      </w:r>
      <w:r>
        <w:rPr>
          <w:rFonts w:ascii="仿宋" w:hAnsi="仿宋" w:eastAsia="仿宋"/>
          <w:color w:val="000000"/>
          <w:szCs w:val="32"/>
        </w:rPr>
        <w:t>3</w:t>
      </w:r>
      <w:r>
        <w:rPr>
          <w:rFonts w:hint="eastAsia" w:ascii="仿宋" w:hAnsi="仿宋" w:eastAsia="仿宋"/>
          <w:color w:val="000000"/>
          <w:szCs w:val="32"/>
        </w:rPr>
        <w:t>：支出决算结构图）（饼状图）</w:t>
      </w:r>
    </w:p>
    <w:p>
      <w:pPr>
        <w:pageBreakBefore w:val="0"/>
        <w:kinsoku/>
        <w:wordWrap/>
        <w:overflowPunct/>
        <w:topLinePunct w:val="0"/>
        <w:bidi w:val="0"/>
        <w:adjustRightInd w:val="0"/>
        <w:snapToGrid w:val="0"/>
        <w:spacing w:line="560" w:lineRule="exact"/>
        <w:ind w:firstLine="640" w:firstLineChars="200"/>
        <w:outlineLvl w:val="1"/>
        <w:rPr>
          <w:rStyle w:val="14"/>
          <w:rFonts w:ascii="黑体" w:hAnsi="黑体" w:eastAsia="黑体"/>
          <w:b w:val="0"/>
        </w:rPr>
      </w:pPr>
      <w:bookmarkStart w:id="23" w:name="_Toc10354"/>
      <w:bookmarkStart w:id="24" w:name="_Toc15377208"/>
      <w:bookmarkStart w:id="25" w:name="_Toc15396606"/>
      <w:r>
        <w:rPr>
          <w:rFonts w:hint="eastAsia" w:ascii="黑体" w:hAnsi="黑体" w:eastAsia="黑体"/>
          <w:color w:val="000000"/>
          <w:szCs w:val="32"/>
        </w:rPr>
        <w:t>四、财</w:t>
      </w:r>
      <w:r>
        <w:rPr>
          <w:rStyle w:val="14"/>
          <w:rFonts w:hint="eastAsia" w:ascii="黑体" w:hAnsi="黑体" w:eastAsia="黑体"/>
          <w:b w:val="0"/>
        </w:rPr>
        <w:t>政拨款收入支出决算总体情况说明</w:t>
      </w:r>
      <w:bookmarkEnd w:id="23"/>
      <w:bookmarkEnd w:id="24"/>
      <w:bookmarkEnd w:id="25"/>
    </w:p>
    <w:p>
      <w:pPr>
        <w:pageBreakBefore w:val="0"/>
        <w:kinsoku/>
        <w:wordWrap/>
        <w:overflowPunct/>
        <w:topLinePunct w:val="0"/>
        <w:bidi w:val="0"/>
        <w:adjustRightInd w:val="0"/>
        <w:snapToGrid w:val="0"/>
        <w:spacing w:line="560" w:lineRule="exact"/>
        <w:ind w:firstLine="640" w:firstLineChars="200"/>
        <w:rPr>
          <w:rFonts w:hint="eastAsia" w:ascii="仿宋_GB2312" w:hAnsi="仿宋_GB2312" w:cs="仿宋_GB2312"/>
          <w:color w:val="auto"/>
          <w:szCs w:val="32"/>
          <w:lang w:eastAsia="zh-CN"/>
        </w:rPr>
      </w:pPr>
      <w:r>
        <w:rPr>
          <w:rFonts w:hint="eastAsia" w:ascii="仿宋_GB2312" w:hAnsi="仿宋_GB2312" w:eastAsia="仿宋_GB2312" w:cs="仿宋_GB2312"/>
          <w:color w:val="000000"/>
          <w:szCs w:val="32"/>
        </w:rPr>
        <w:t>2020年财政拨款收、支总计</w:t>
      </w:r>
      <w:r>
        <w:rPr>
          <w:rFonts w:hint="eastAsia" w:ascii="仿宋_GB2312" w:hAnsi="仿宋_GB2312" w:cs="仿宋_GB2312"/>
          <w:color w:val="auto"/>
          <w:szCs w:val="32"/>
          <w:lang w:val="en-US" w:eastAsia="zh-CN"/>
        </w:rPr>
        <w:t>6340.57</w:t>
      </w:r>
      <w:r>
        <w:rPr>
          <w:rFonts w:hint="eastAsia" w:ascii="仿宋_GB2312" w:hAnsi="仿宋_GB2312" w:eastAsia="仿宋_GB2312" w:cs="仿宋_GB2312"/>
          <w:color w:val="auto"/>
          <w:szCs w:val="32"/>
        </w:rPr>
        <w:t>万元。与2019年相比，收、支总计各增加</w:t>
      </w:r>
      <w:r>
        <w:rPr>
          <w:rFonts w:hint="eastAsia" w:ascii="仿宋_GB2312" w:hAnsi="仿宋_GB2312" w:cs="仿宋_GB2312"/>
          <w:color w:val="auto"/>
          <w:szCs w:val="32"/>
          <w:lang w:val="en-US" w:eastAsia="zh-CN"/>
        </w:rPr>
        <w:t>3165.46</w:t>
      </w:r>
      <w:r>
        <w:rPr>
          <w:rFonts w:hint="eastAsia" w:ascii="仿宋_GB2312" w:hAnsi="仿宋_GB2312" w:eastAsia="仿宋_GB2312" w:cs="仿宋_GB2312"/>
          <w:color w:val="auto"/>
          <w:szCs w:val="32"/>
        </w:rPr>
        <w:t>万元，增长</w:t>
      </w:r>
      <w:r>
        <w:rPr>
          <w:rFonts w:hint="eastAsia" w:ascii="仿宋_GB2312" w:hAnsi="仿宋_GB2312" w:cs="仿宋_GB2312"/>
          <w:color w:val="auto"/>
          <w:szCs w:val="32"/>
          <w:lang w:val="en-US" w:eastAsia="zh-CN"/>
        </w:rPr>
        <w:t>99.70</w:t>
      </w:r>
      <w:r>
        <w:rPr>
          <w:rFonts w:hint="eastAsia" w:ascii="仿宋_GB2312" w:hAnsi="仿宋_GB2312" w:eastAsia="仿宋_GB2312" w:cs="仿宋_GB2312"/>
          <w:color w:val="auto"/>
          <w:szCs w:val="32"/>
        </w:rPr>
        <w:t>%。主要变动原因是S309乐自高速贡井连接线新建工程项目土地划拨款增加支出3470.65万元</w:t>
      </w:r>
      <w:r>
        <w:rPr>
          <w:rFonts w:hint="eastAsia" w:ascii="仿宋_GB2312" w:hAnsi="仿宋_GB2312" w:cs="仿宋_GB2312"/>
          <w:color w:val="auto"/>
          <w:szCs w:val="32"/>
          <w:lang w:eastAsia="zh-CN"/>
        </w:rPr>
        <w:t>。</w:t>
      </w:r>
    </w:p>
    <w:p>
      <w:pPr>
        <w:pageBreakBefore w:val="0"/>
        <w:kinsoku/>
        <w:wordWrap/>
        <w:overflowPunct/>
        <w:topLinePunct w:val="0"/>
        <w:bidi w:val="0"/>
        <w:adjustRightInd w:val="0"/>
        <w:snapToGrid w:val="0"/>
        <w:spacing w:line="560" w:lineRule="exact"/>
        <w:ind w:firstLine="640" w:firstLineChars="200"/>
        <w:rPr>
          <w:rFonts w:hint="eastAsia" w:ascii="仿宋_GB2312" w:hAnsi="仿宋_GB2312" w:eastAsia="仿宋_GB2312" w:cs="仿宋_GB2312"/>
          <w:szCs w:val="32"/>
        </w:rPr>
      </w:pPr>
    </w:p>
    <w:p>
      <w:pPr>
        <w:keepNext w:val="0"/>
        <w:keepLines w:val="0"/>
        <w:pageBreakBefore w:val="0"/>
        <w:widowControl w:val="0"/>
        <w:kinsoku/>
        <w:wordWrap/>
        <w:overflowPunct/>
        <w:topLinePunct w:val="0"/>
        <w:autoSpaceDE/>
        <w:autoSpaceDN/>
        <w:bidi w:val="0"/>
        <w:adjustRightInd w:val="0"/>
        <w:snapToGrid w:val="0"/>
        <w:spacing w:line="240" w:lineRule="auto"/>
        <w:ind w:firstLine="640" w:firstLineChars="200"/>
        <w:textAlignment w:val="auto"/>
        <w:rPr>
          <w:rFonts w:ascii="仿宋_GB2312" w:hAnsi="宋体"/>
          <w:szCs w:val="32"/>
        </w:rPr>
      </w:pPr>
      <w:r>
        <w:rPr>
          <w:rFonts w:hint="eastAsia" w:ascii="仿宋" w:hAnsi="仿宋" w:eastAsia="仿宋"/>
          <w:color w:val="000000"/>
          <w:szCs w:val="32"/>
        </w:rPr>
        <w:object>
          <v:shape id="_x0000_i1028" o:spt="75" type="#_x0000_t75" style="height:174.75pt;width:357pt;" o:ole="t" filled="f" o:preferrelative="t" stroked="f" coordsize="21600,21600">
            <v:path/>
            <v:fill on="f" focussize="0,0"/>
            <v:stroke on="f"/>
            <v:imagedata r:id="rId12" o:title=""/>
            <o:lock v:ext="edit" aspectratio="t"/>
            <w10:wrap type="none"/>
            <w10:anchorlock/>
          </v:shape>
          <o:OLEObject Type="Embed" ProgID="Excel.Chart.8" ShapeID="_x0000_i1028" DrawAspect="Content" ObjectID="_1468075728" r:id="rId11">
            <o:LockedField>false</o:LockedField>
          </o:OLEObject>
        </w:object>
      </w:r>
    </w:p>
    <w:p>
      <w:pPr>
        <w:pageBreakBefore w:val="0"/>
        <w:kinsoku/>
        <w:wordWrap/>
        <w:overflowPunct/>
        <w:topLinePunct w:val="0"/>
        <w:bidi w:val="0"/>
        <w:adjustRightInd w:val="0"/>
        <w:snapToGrid w:val="0"/>
        <w:spacing w:line="560" w:lineRule="exact"/>
        <w:ind w:firstLine="640" w:firstLineChars="200"/>
        <w:rPr>
          <w:rFonts w:ascii="仿宋" w:hAnsi="仿宋" w:eastAsia="仿宋"/>
          <w:b/>
          <w:color w:val="00B050"/>
          <w:szCs w:val="32"/>
        </w:rPr>
      </w:pPr>
      <w:r>
        <w:rPr>
          <w:rFonts w:hint="eastAsia" w:ascii="仿宋" w:hAnsi="仿宋" w:eastAsia="仿宋"/>
          <w:color w:val="000000"/>
          <w:szCs w:val="32"/>
        </w:rPr>
        <w:t>（图</w:t>
      </w:r>
      <w:r>
        <w:rPr>
          <w:rFonts w:ascii="仿宋" w:hAnsi="仿宋" w:eastAsia="仿宋"/>
          <w:color w:val="000000"/>
          <w:szCs w:val="32"/>
        </w:rPr>
        <w:t>4</w:t>
      </w:r>
      <w:r>
        <w:rPr>
          <w:rFonts w:hint="eastAsia" w:ascii="仿宋" w:hAnsi="仿宋" w:eastAsia="仿宋"/>
          <w:color w:val="000000"/>
          <w:szCs w:val="32"/>
        </w:rPr>
        <w:t>：财政拨款收、支决算总计变动情况）（柱状图）</w:t>
      </w:r>
    </w:p>
    <w:p>
      <w:pPr>
        <w:pageBreakBefore w:val="0"/>
        <w:kinsoku/>
        <w:wordWrap/>
        <w:overflowPunct/>
        <w:topLinePunct w:val="0"/>
        <w:bidi w:val="0"/>
        <w:adjustRightInd w:val="0"/>
        <w:snapToGrid w:val="0"/>
        <w:spacing w:line="560" w:lineRule="exact"/>
        <w:ind w:firstLine="640" w:firstLineChars="200"/>
        <w:outlineLvl w:val="1"/>
        <w:rPr>
          <w:rStyle w:val="14"/>
          <w:rFonts w:ascii="黑体" w:hAnsi="黑体" w:eastAsia="黑体"/>
          <w:b w:val="0"/>
        </w:rPr>
      </w:pPr>
      <w:bookmarkStart w:id="26" w:name="_Toc15377209"/>
      <w:bookmarkStart w:id="27" w:name="_Toc10967"/>
      <w:bookmarkStart w:id="28" w:name="_Toc15396607"/>
      <w:r>
        <w:rPr>
          <w:rFonts w:hint="eastAsia" w:ascii="黑体" w:hAnsi="黑体" w:eastAsia="黑体"/>
          <w:color w:val="000000"/>
          <w:szCs w:val="32"/>
        </w:rPr>
        <w:t>五、</w:t>
      </w:r>
      <w:r>
        <w:rPr>
          <w:rFonts w:hint="eastAsia" w:ascii="黑体" w:hAnsi="黑体" w:eastAsia="黑体"/>
          <w:b/>
          <w:color w:val="000000"/>
          <w:szCs w:val="32"/>
        </w:rPr>
        <w:t>一</w:t>
      </w:r>
      <w:r>
        <w:rPr>
          <w:rStyle w:val="14"/>
          <w:rFonts w:hint="eastAsia" w:ascii="黑体" w:hAnsi="黑体" w:eastAsia="黑体"/>
          <w:b w:val="0"/>
        </w:rPr>
        <w:t>般公共预算财政拨款支出决算情况说明</w:t>
      </w:r>
      <w:bookmarkEnd w:id="26"/>
      <w:bookmarkEnd w:id="27"/>
      <w:bookmarkEnd w:id="28"/>
    </w:p>
    <w:p>
      <w:pPr>
        <w:pageBreakBefore w:val="0"/>
        <w:kinsoku/>
        <w:wordWrap/>
        <w:overflowPunct/>
        <w:topLinePunct w:val="0"/>
        <w:bidi w:val="0"/>
        <w:adjustRightInd w:val="0"/>
        <w:snapToGrid w:val="0"/>
        <w:spacing w:line="560" w:lineRule="exact"/>
        <w:ind w:firstLine="640" w:firstLineChars="200"/>
        <w:outlineLvl w:val="2"/>
        <w:rPr>
          <w:rFonts w:hint="eastAsia" w:ascii="楷体_GB2312" w:hAnsi="楷体_GB2312" w:eastAsia="楷体_GB2312" w:cs="楷体_GB2312"/>
          <w:b w:val="0"/>
          <w:bCs/>
          <w:color w:val="000000"/>
          <w:szCs w:val="32"/>
        </w:rPr>
      </w:pPr>
      <w:bookmarkStart w:id="29" w:name="_Toc15377210"/>
      <w:r>
        <w:rPr>
          <w:rFonts w:hint="eastAsia" w:ascii="楷体_GB2312" w:hAnsi="楷体_GB2312" w:eastAsia="楷体_GB2312" w:cs="楷体_GB2312"/>
          <w:b w:val="0"/>
          <w:bCs/>
          <w:color w:val="000000"/>
          <w:szCs w:val="32"/>
        </w:rPr>
        <w:t>（一）一般公共预算财政拨款支出决算总体情况</w:t>
      </w:r>
      <w:bookmarkEnd w:id="29"/>
    </w:p>
    <w:p>
      <w:pPr>
        <w:pageBreakBefore w:val="0"/>
        <w:kinsoku/>
        <w:wordWrap/>
        <w:overflowPunct/>
        <w:topLinePunct w:val="0"/>
        <w:bidi w:val="0"/>
        <w:adjustRightInd w:val="0"/>
        <w:snapToGrid w:val="0"/>
        <w:spacing w:line="560" w:lineRule="exact"/>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2020年一般公共预算财政拨款支出</w:t>
      </w:r>
      <w:r>
        <w:rPr>
          <w:rFonts w:hint="eastAsia" w:ascii="仿宋_GB2312" w:hAnsi="仿宋_GB2312" w:cs="仿宋_GB2312"/>
          <w:color w:val="000000"/>
          <w:szCs w:val="32"/>
          <w:lang w:val="en-US" w:eastAsia="zh-CN"/>
        </w:rPr>
        <w:t>4886.05</w:t>
      </w:r>
      <w:r>
        <w:rPr>
          <w:rFonts w:hint="eastAsia" w:ascii="仿宋_GB2312" w:hAnsi="仿宋_GB2312" w:eastAsia="仿宋_GB2312" w:cs="仿宋_GB2312"/>
          <w:color w:val="000000"/>
          <w:szCs w:val="32"/>
        </w:rPr>
        <w:t>万元，占本年支出合计的</w:t>
      </w:r>
      <w:r>
        <w:rPr>
          <w:rFonts w:hint="eastAsia" w:ascii="仿宋_GB2312" w:hAnsi="仿宋_GB2312" w:cs="仿宋_GB2312"/>
          <w:color w:val="000000"/>
          <w:szCs w:val="32"/>
          <w:lang w:val="en-US" w:eastAsia="zh-CN"/>
        </w:rPr>
        <w:t>91.49</w:t>
      </w:r>
      <w:r>
        <w:rPr>
          <w:rFonts w:hint="eastAsia" w:ascii="仿宋_GB2312" w:hAnsi="仿宋_GB2312" w:eastAsia="仿宋_GB2312" w:cs="仿宋_GB2312"/>
          <w:color w:val="000000"/>
          <w:szCs w:val="32"/>
        </w:rPr>
        <w:t>%。与2019年相比，一般公共预算财政拨款增加</w:t>
      </w:r>
      <w:r>
        <w:rPr>
          <w:rFonts w:hint="eastAsia" w:ascii="仿宋_GB2312" w:hAnsi="仿宋_GB2312" w:cs="仿宋_GB2312"/>
          <w:color w:val="000000"/>
          <w:szCs w:val="32"/>
          <w:lang w:val="en-US" w:eastAsia="zh-CN"/>
        </w:rPr>
        <w:t>1810.77</w:t>
      </w:r>
      <w:r>
        <w:rPr>
          <w:rFonts w:hint="eastAsia" w:ascii="仿宋_GB2312" w:hAnsi="仿宋_GB2312" w:eastAsia="仿宋_GB2312" w:cs="仿宋_GB2312"/>
          <w:color w:val="000000"/>
          <w:szCs w:val="32"/>
        </w:rPr>
        <w:t>万元，增长5</w:t>
      </w:r>
      <w:r>
        <w:rPr>
          <w:rFonts w:hint="eastAsia" w:ascii="仿宋_GB2312" w:hAnsi="仿宋_GB2312" w:cs="仿宋_GB2312"/>
          <w:color w:val="000000"/>
          <w:szCs w:val="32"/>
          <w:lang w:val="en-US" w:eastAsia="zh-CN"/>
        </w:rPr>
        <w:t>8.88</w:t>
      </w:r>
      <w:r>
        <w:rPr>
          <w:rFonts w:hint="eastAsia" w:ascii="仿宋_GB2312" w:hAnsi="仿宋_GB2312" w:eastAsia="仿宋_GB2312" w:cs="仿宋_GB2312"/>
          <w:color w:val="000000"/>
          <w:szCs w:val="32"/>
        </w:rPr>
        <w:t>%。主要变动原因是S309乐自高速贡井连接线新建工程项目土地划拨款增加支出3470.65万元。</w:t>
      </w:r>
    </w:p>
    <w:p>
      <w:pPr>
        <w:keepNext w:val="0"/>
        <w:keepLines w:val="0"/>
        <w:pageBreakBefore w:val="0"/>
        <w:widowControl w:val="0"/>
        <w:kinsoku/>
        <w:wordWrap/>
        <w:overflowPunct/>
        <w:topLinePunct w:val="0"/>
        <w:autoSpaceDE/>
        <w:autoSpaceDN/>
        <w:bidi w:val="0"/>
        <w:adjustRightInd w:val="0"/>
        <w:snapToGrid w:val="0"/>
        <w:spacing w:line="240" w:lineRule="auto"/>
        <w:ind w:firstLine="640" w:firstLineChars="200"/>
        <w:textAlignment w:val="auto"/>
        <w:rPr>
          <w:rFonts w:ascii="仿宋" w:hAnsi="仿宋" w:eastAsia="仿宋"/>
          <w:color w:val="000000"/>
          <w:szCs w:val="32"/>
        </w:rPr>
      </w:pPr>
      <w:r>
        <w:rPr>
          <w:rFonts w:hint="eastAsia" w:ascii="仿宋" w:hAnsi="仿宋" w:eastAsia="仿宋"/>
          <w:color w:val="000000"/>
          <w:szCs w:val="32"/>
        </w:rPr>
        <w:object>
          <v:shape id="_x0000_i1029" o:spt="75" type="#_x0000_t75" style="height:125.4pt;width:339pt;" o:ole="t" filled="f" o:preferrelative="t" stroked="f" coordsize="21600,21600">
            <v:path/>
            <v:fill on="f" focussize="0,0"/>
            <v:stroke on="f"/>
            <v:imagedata r:id="rId14" o:title=""/>
            <o:lock v:ext="edit" aspectratio="t"/>
            <w10:wrap type="none"/>
            <w10:anchorlock/>
          </v:shape>
          <o:OLEObject Type="Embed" ProgID="Excel.Chart.8" ShapeID="_x0000_i1029" DrawAspect="Content" ObjectID="_1468075729" r:id="rId13">
            <o:LockedField>false</o:LockedField>
          </o:OLEObject>
        </w:object>
      </w:r>
    </w:p>
    <w:p>
      <w:pPr>
        <w:pageBreakBefore w:val="0"/>
        <w:kinsoku/>
        <w:wordWrap/>
        <w:overflowPunct/>
        <w:topLinePunct w:val="0"/>
        <w:bidi w:val="0"/>
        <w:adjustRightInd w:val="0"/>
        <w:snapToGrid w:val="0"/>
        <w:spacing w:line="560" w:lineRule="exact"/>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5</w:t>
      </w:r>
      <w:r>
        <w:rPr>
          <w:rFonts w:hint="eastAsia" w:ascii="仿宋" w:hAnsi="仿宋" w:eastAsia="仿宋"/>
          <w:color w:val="000000"/>
          <w:szCs w:val="32"/>
        </w:rPr>
        <w:t>：一般公共预算财政拨款支出决算变动情况（柱状图）</w:t>
      </w:r>
    </w:p>
    <w:p>
      <w:pPr>
        <w:pageBreakBefore w:val="0"/>
        <w:kinsoku/>
        <w:wordWrap/>
        <w:overflowPunct/>
        <w:topLinePunct w:val="0"/>
        <w:bidi w:val="0"/>
        <w:adjustRightInd w:val="0"/>
        <w:snapToGrid w:val="0"/>
        <w:spacing w:line="560" w:lineRule="exact"/>
        <w:ind w:firstLine="640" w:firstLineChars="200"/>
        <w:outlineLvl w:val="2"/>
        <w:rPr>
          <w:rFonts w:hint="eastAsia" w:ascii="楷体_GB2312" w:hAnsi="楷体_GB2312" w:eastAsia="楷体_GB2312" w:cs="楷体_GB2312"/>
          <w:b w:val="0"/>
          <w:bCs/>
          <w:color w:val="000000"/>
          <w:szCs w:val="32"/>
        </w:rPr>
      </w:pPr>
      <w:bookmarkStart w:id="30" w:name="_Toc15377211"/>
      <w:r>
        <w:rPr>
          <w:rFonts w:hint="eastAsia" w:ascii="楷体_GB2312" w:hAnsi="楷体_GB2312" w:eastAsia="楷体_GB2312" w:cs="楷体_GB2312"/>
          <w:b w:val="0"/>
          <w:bCs/>
          <w:color w:val="000000"/>
          <w:szCs w:val="32"/>
        </w:rPr>
        <w:t>（二）一般公共预算财政拨款支出决算结构情况</w:t>
      </w:r>
      <w:bookmarkEnd w:id="30"/>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2020年一般公共预算财政拨款支出</w:t>
      </w:r>
      <w:r>
        <w:rPr>
          <w:rFonts w:hint="eastAsia" w:ascii="仿宋_GB2312" w:hAnsi="仿宋_GB2312" w:cs="仿宋_GB2312"/>
          <w:color w:val="000000"/>
          <w:szCs w:val="32"/>
          <w:lang w:val="en-US" w:eastAsia="zh-CN"/>
        </w:rPr>
        <w:t>4886.05</w:t>
      </w:r>
      <w:r>
        <w:rPr>
          <w:rFonts w:hint="eastAsia" w:ascii="仿宋_GB2312" w:hAnsi="仿宋_GB2312" w:eastAsia="仿宋_GB2312" w:cs="仿宋_GB2312"/>
          <w:color w:val="000000"/>
          <w:szCs w:val="32"/>
        </w:rPr>
        <w:t>万元，主要用于以下方面:</w:t>
      </w:r>
      <w:r>
        <w:rPr>
          <w:rFonts w:hint="eastAsia" w:ascii="仿宋_GB2312" w:hAnsi="仿宋_GB2312" w:eastAsia="仿宋_GB2312" w:cs="仿宋_GB2312"/>
          <w:bCs/>
          <w:color w:val="000000"/>
          <w:szCs w:val="32"/>
        </w:rPr>
        <w:t>一般公共服务支出</w:t>
      </w:r>
      <w:r>
        <w:rPr>
          <w:rFonts w:hint="eastAsia" w:ascii="仿宋_GB2312" w:hAnsi="仿宋_GB2312" w:eastAsia="仿宋_GB2312" w:cs="仿宋_GB2312"/>
          <w:color w:val="000000"/>
          <w:szCs w:val="32"/>
        </w:rPr>
        <w:t>0.85万元，占</w:t>
      </w:r>
      <w:r>
        <w:rPr>
          <w:rFonts w:hint="eastAsia" w:ascii="仿宋_GB2312" w:hAnsi="仿宋_GB2312" w:cs="仿宋_GB2312"/>
          <w:color w:val="000000"/>
          <w:szCs w:val="32"/>
          <w:lang w:val="en-US" w:eastAsia="zh-CN"/>
        </w:rPr>
        <w:t>0.02</w:t>
      </w:r>
      <w:r>
        <w:rPr>
          <w:rFonts w:hint="eastAsia" w:ascii="仿宋_GB2312" w:hAnsi="仿宋_GB2312" w:eastAsia="仿宋_GB2312" w:cs="仿宋_GB2312"/>
          <w:color w:val="000000"/>
          <w:szCs w:val="32"/>
        </w:rPr>
        <w:t>%；社会保障和就业支出</w:t>
      </w:r>
      <w:r>
        <w:rPr>
          <w:rFonts w:hint="eastAsia" w:ascii="仿宋_GB2312" w:hAnsi="仿宋_GB2312" w:cs="仿宋_GB2312"/>
          <w:color w:val="000000"/>
          <w:szCs w:val="32"/>
          <w:lang w:val="en-US" w:eastAsia="zh-CN"/>
        </w:rPr>
        <w:t>28.95</w:t>
      </w:r>
      <w:r>
        <w:rPr>
          <w:rFonts w:hint="eastAsia" w:ascii="仿宋_GB2312" w:hAnsi="仿宋_GB2312" w:eastAsia="仿宋_GB2312" w:cs="仿宋_GB2312"/>
          <w:color w:val="000000"/>
          <w:szCs w:val="32"/>
        </w:rPr>
        <w:t>万元，占</w:t>
      </w:r>
      <w:r>
        <w:rPr>
          <w:rFonts w:hint="eastAsia" w:ascii="仿宋_GB2312" w:hAnsi="仿宋_GB2312" w:cs="仿宋_GB2312"/>
          <w:color w:val="000000"/>
          <w:szCs w:val="32"/>
          <w:lang w:val="en-US" w:eastAsia="zh-CN"/>
        </w:rPr>
        <w:t>0.59</w:t>
      </w:r>
      <w:r>
        <w:rPr>
          <w:rFonts w:hint="eastAsia" w:ascii="仿宋_GB2312" w:hAnsi="仿宋_GB2312" w:eastAsia="仿宋_GB2312" w:cs="仿宋_GB2312"/>
          <w:color w:val="000000"/>
          <w:szCs w:val="32"/>
        </w:rPr>
        <w:t>%；卫生健康支出</w:t>
      </w:r>
      <w:r>
        <w:rPr>
          <w:rFonts w:hint="eastAsia" w:ascii="仿宋_GB2312" w:hAnsi="仿宋_GB2312" w:cs="仿宋_GB2312"/>
          <w:color w:val="000000"/>
          <w:szCs w:val="32"/>
          <w:lang w:val="en-US" w:eastAsia="zh-CN"/>
        </w:rPr>
        <w:t>7.09</w:t>
      </w:r>
      <w:r>
        <w:rPr>
          <w:rFonts w:hint="eastAsia" w:ascii="仿宋_GB2312" w:hAnsi="仿宋_GB2312" w:eastAsia="仿宋_GB2312" w:cs="仿宋_GB2312"/>
          <w:color w:val="000000"/>
          <w:szCs w:val="32"/>
        </w:rPr>
        <w:t>万元，占</w:t>
      </w:r>
      <w:r>
        <w:rPr>
          <w:rFonts w:hint="eastAsia" w:ascii="仿宋_GB2312" w:hAnsi="仿宋_GB2312" w:cs="仿宋_GB2312"/>
          <w:color w:val="000000"/>
          <w:szCs w:val="32"/>
          <w:lang w:val="en-US" w:eastAsia="zh-CN"/>
        </w:rPr>
        <w:t>0.15</w:t>
      </w:r>
      <w:r>
        <w:rPr>
          <w:rFonts w:hint="eastAsia" w:ascii="仿宋_GB2312" w:hAnsi="仿宋_GB2312" w:eastAsia="仿宋_GB2312" w:cs="仿宋_GB2312"/>
          <w:color w:val="000000"/>
          <w:szCs w:val="32"/>
        </w:rPr>
        <w:t>%；</w:t>
      </w:r>
      <w:r>
        <w:rPr>
          <w:rFonts w:hint="eastAsia" w:ascii="仿宋_GB2312" w:hAnsi="仿宋_GB2312" w:eastAsia="仿宋_GB2312" w:cs="仿宋_GB2312"/>
          <w:szCs w:val="32"/>
        </w:rPr>
        <w:t>节能环保支出13.76万元，占</w:t>
      </w:r>
      <w:r>
        <w:rPr>
          <w:rFonts w:hint="eastAsia" w:ascii="仿宋_GB2312" w:hAnsi="仿宋_GB2312" w:cs="仿宋_GB2312"/>
          <w:szCs w:val="32"/>
          <w:lang w:val="en-US" w:eastAsia="zh-CN"/>
        </w:rPr>
        <w:t>0.28</w:t>
      </w:r>
      <w:r>
        <w:rPr>
          <w:rFonts w:hint="eastAsia" w:ascii="仿宋_GB2312" w:hAnsi="仿宋_GB2312" w:eastAsia="仿宋_GB2312" w:cs="仿宋_GB2312"/>
          <w:szCs w:val="32"/>
        </w:rPr>
        <w:t>%；农林水支出123.20万元，占</w:t>
      </w:r>
      <w:r>
        <w:rPr>
          <w:rFonts w:hint="eastAsia" w:ascii="仿宋_GB2312" w:hAnsi="仿宋_GB2312" w:cs="仿宋_GB2312"/>
          <w:szCs w:val="32"/>
          <w:lang w:val="en-US" w:eastAsia="zh-CN"/>
        </w:rPr>
        <w:t>2.52</w:t>
      </w:r>
      <w:r>
        <w:rPr>
          <w:rFonts w:hint="eastAsia" w:ascii="仿宋_GB2312" w:hAnsi="仿宋_GB2312" w:eastAsia="仿宋_GB2312" w:cs="仿宋_GB2312"/>
          <w:szCs w:val="32"/>
        </w:rPr>
        <w:t>%；交通运输支出</w:t>
      </w:r>
      <w:r>
        <w:rPr>
          <w:rFonts w:hint="eastAsia" w:ascii="仿宋_GB2312" w:hAnsi="仿宋_GB2312" w:cs="仿宋_GB2312"/>
          <w:szCs w:val="32"/>
          <w:lang w:val="en-US" w:eastAsia="zh-CN"/>
        </w:rPr>
        <w:t>4700.97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96.21</w:t>
      </w:r>
      <w:r>
        <w:rPr>
          <w:rFonts w:hint="eastAsia" w:ascii="仿宋_GB2312" w:hAnsi="仿宋_GB2312" w:eastAsia="仿宋_GB2312" w:cs="仿宋_GB2312"/>
          <w:szCs w:val="32"/>
        </w:rPr>
        <w:t>%；</w:t>
      </w:r>
      <w:r>
        <w:rPr>
          <w:rFonts w:hint="eastAsia" w:ascii="仿宋_GB2312" w:hAnsi="仿宋_GB2312" w:eastAsia="仿宋_GB2312" w:cs="仿宋_GB2312"/>
          <w:color w:val="000000"/>
          <w:szCs w:val="32"/>
        </w:rPr>
        <w:t>住房保障支出</w:t>
      </w:r>
      <w:r>
        <w:rPr>
          <w:rFonts w:hint="eastAsia" w:ascii="仿宋_GB2312" w:hAnsi="仿宋_GB2312" w:cs="仿宋_GB2312"/>
          <w:color w:val="000000"/>
          <w:szCs w:val="32"/>
          <w:lang w:val="en-US" w:eastAsia="zh-CN"/>
        </w:rPr>
        <w:t>11.22</w:t>
      </w:r>
      <w:r>
        <w:rPr>
          <w:rFonts w:hint="eastAsia" w:ascii="仿宋_GB2312" w:hAnsi="仿宋_GB2312" w:eastAsia="仿宋_GB2312" w:cs="仿宋_GB2312"/>
          <w:color w:val="000000"/>
          <w:szCs w:val="32"/>
        </w:rPr>
        <w:t>万元，占</w:t>
      </w:r>
      <w:r>
        <w:rPr>
          <w:rFonts w:hint="eastAsia" w:ascii="仿宋_GB2312" w:hAnsi="仿宋_GB2312" w:cs="仿宋_GB2312"/>
          <w:color w:val="000000"/>
          <w:szCs w:val="32"/>
          <w:lang w:val="en-US" w:eastAsia="zh-CN"/>
        </w:rPr>
        <w:t>0.23</w:t>
      </w:r>
      <w:r>
        <w:rPr>
          <w:rFonts w:hint="eastAsia" w:ascii="仿宋_GB2312" w:hAnsi="仿宋_GB2312" w:eastAsia="仿宋_GB2312" w:cs="仿宋_GB2312"/>
          <w:color w:val="000000"/>
          <w:szCs w:val="32"/>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641"/>
        <w:textAlignment w:val="auto"/>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object>
          <v:shape id="_x0000_i1030" o:spt="75" type="#_x0000_t75" style="height:155.25pt;width:348pt;" o:ole="t" filled="f" o:preferrelative="t" stroked="f" coordsize="21600,21600">
            <v:path/>
            <v:fill on="f" focussize="0,0"/>
            <v:stroke on="f"/>
            <v:imagedata r:id="rId16" o:title=""/>
            <o:lock v:ext="edit" aspectratio="t"/>
            <w10:wrap type="none"/>
            <w10:anchorlock/>
          </v:shape>
          <o:OLEObject Type="Embed" ProgID="Excel.Chart.8" ShapeID="_x0000_i1030" DrawAspect="Content" ObjectID="_1468075730" r:id="rId15">
            <o:LockedField>false</o:LockedField>
          </o:OLEObject>
        </w:object>
      </w:r>
    </w:p>
    <w:p>
      <w:pPr>
        <w:pageBreakBefore w:val="0"/>
        <w:kinsoku/>
        <w:wordWrap/>
        <w:overflowPunct/>
        <w:topLinePunct w:val="0"/>
        <w:bidi w:val="0"/>
        <w:adjustRightInd w:val="0"/>
        <w:snapToGrid w:val="0"/>
        <w:spacing w:line="56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6</w:t>
      </w:r>
      <w:r>
        <w:rPr>
          <w:rFonts w:hint="eastAsia" w:ascii="仿宋" w:hAnsi="仿宋" w:eastAsia="仿宋"/>
          <w:color w:val="000000"/>
          <w:szCs w:val="32"/>
        </w:rPr>
        <w:t>：一般公共预算财政拨款支出决算结构）（饼状图）</w:t>
      </w:r>
    </w:p>
    <w:p>
      <w:pPr>
        <w:pageBreakBefore w:val="0"/>
        <w:kinsoku/>
        <w:wordWrap/>
        <w:overflowPunct/>
        <w:topLinePunct w:val="0"/>
        <w:bidi w:val="0"/>
        <w:adjustRightInd w:val="0"/>
        <w:snapToGrid w:val="0"/>
        <w:spacing w:line="560" w:lineRule="exact"/>
        <w:ind w:firstLine="640" w:firstLineChars="200"/>
        <w:rPr>
          <w:rFonts w:ascii="仿宋" w:hAnsi="仿宋" w:eastAsia="仿宋"/>
          <w:color w:val="000000"/>
          <w:szCs w:val="32"/>
        </w:rPr>
      </w:pPr>
    </w:p>
    <w:p>
      <w:pPr>
        <w:pageBreakBefore w:val="0"/>
        <w:kinsoku/>
        <w:wordWrap/>
        <w:overflowPunct/>
        <w:topLinePunct w:val="0"/>
        <w:bidi w:val="0"/>
        <w:adjustRightInd w:val="0"/>
        <w:snapToGrid w:val="0"/>
        <w:spacing w:line="560" w:lineRule="exact"/>
        <w:ind w:firstLine="640" w:firstLineChars="200"/>
        <w:outlineLvl w:val="2"/>
        <w:rPr>
          <w:rFonts w:hint="eastAsia" w:ascii="楷体_GB2312" w:hAnsi="楷体_GB2312" w:eastAsia="楷体_GB2312" w:cs="楷体_GB2312"/>
          <w:b w:val="0"/>
          <w:bCs/>
          <w:color w:val="auto"/>
          <w:szCs w:val="32"/>
        </w:rPr>
      </w:pPr>
      <w:bookmarkStart w:id="31" w:name="_Toc15377212"/>
      <w:r>
        <w:rPr>
          <w:rFonts w:hint="eastAsia" w:ascii="楷体_GB2312" w:hAnsi="楷体_GB2312" w:eastAsia="楷体_GB2312" w:cs="楷体_GB2312"/>
          <w:b w:val="0"/>
          <w:bCs/>
          <w:color w:val="auto"/>
          <w:szCs w:val="32"/>
        </w:rPr>
        <w:t>（三）一般公共预算财政拨款支出决算具体情况</w:t>
      </w:r>
      <w:bookmarkEnd w:id="31"/>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auto"/>
          <w:szCs w:val="32"/>
        </w:rPr>
      </w:pPr>
      <w:bookmarkStart w:id="32" w:name="_Toc15377444"/>
      <w:bookmarkStart w:id="33" w:name="_Toc15377213"/>
      <w:bookmarkStart w:id="34" w:name="_Toc15378460"/>
      <w:r>
        <w:rPr>
          <w:rFonts w:hint="eastAsia" w:ascii="仿宋_GB2312" w:hAnsi="仿宋_GB2312" w:eastAsia="仿宋_GB2312" w:cs="仿宋_GB2312"/>
          <w:color w:val="auto"/>
          <w:szCs w:val="32"/>
        </w:rPr>
        <w:t>2020年一般公共预算支出决算数为</w:t>
      </w:r>
      <w:r>
        <w:rPr>
          <w:rFonts w:hint="eastAsia" w:ascii="仿宋_GB2312" w:hAnsi="仿宋_GB2312" w:cs="仿宋_GB2312"/>
          <w:color w:val="auto"/>
          <w:szCs w:val="32"/>
          <w:lang w:val="en-US" w:eastAsia="zh-CN"/>
        </w:rPr>
        <w:t>4886.05</w:t>
      </w:r>
      <w:r>
        <w:rPr>
          <w:rFonts w:hint="eastAsia" w:ascii="仿宋_GB2312" w:hAnsi="仿宋_GB2312" w:eastAsia="仿宋_GB2312" w:cs="仿宋_GB2312"/>
          <w:color w:val="auto"/>
          <w:szCs w:val="32"/>
        </w:rPr>
        <w:t>万元，完成预算</w:t>
      </w:r>
      <w:r>
        <w:rPr>
          <w:rFonts w:hint="eastAsia" w:ascii="仿宋_GB2312" w:hAnsi="仿宋_GB2312" w:cs="仿宋_GB2312"/>
          <w:color w:val="auto"/>
          <w:szCs w:val="32"/>
          <w:lang w:val="en-US" w:eastAsia="zh-CN"/>
        </w:rPr>
        <w:t>83.01</w:t>
      </w:r>
      <w:r>
        <w:rPr>
          <w:rFonts w:hint="eastAsia" w:ascii="仿宋_GB2312" w:hAnsi="仿宋_GB2312" w:eastAsia="仿宋_GB2312" w:cs="仿宋_GB2312"/>
          <w:color w:val="auto"/>
          <w:szCs w:val="32"/>
        </w:rPr>
        <w:t>%。其中：</w:t>
      </w:r>
      <w:bookmarkEnd w:id="32"/>
      <w:bookmarkEnd w:id="33"/>
      <w:bookmarkEnd w:id="34"/>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1.一般公共服务（类）组织事务（款）其他组织事务支出（项）: 支出决算为0.85万元，完成预算100%，决算数等于预算数。</w:t>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2.社会保障和就业（类）行政事业单位养老（款）机关事业单位基本养老保险缴费支出（项）: 支出决算为</w:t>
      </w:r>
      <w:r>
        <w:rPr>
          <w:rFonts w:hint="eastAsia" w:ascii="仿宋_GB2312" w:hAnsi="仿宋_GB2312" w:cs="仿宋_GB2312"/>
          <w:color w:val="000000"/>
          <w:szCs w:val="32"/>
          <w:lang w:val="en-US" w:eastAsia="zh-CN"/>
        </w:rPr>
        <w:t>14.49</w:t>
      </w:r>
      <w:r>
        <w:rPr>
          <w:rFonts w:hint="eastAsia" w:ascii="仿宋_GB2312" w:hAnsi="仿宋_GB2312" w:eastAsia="仿宋_GB2312" w:cs="仿宋_GB2312"/>
          <w:color w:val="000000"/>
          <w:szCs w:val="32"/>
        </w:rPr>
        <w:t>万元，完成预算100%，决算数等于预算数。</w:t>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3.社会保障和就业支出（类）行政事业单位养老（款）机关事业单位职业年金缴费支出（项）：支出决算为</w:t>
      </w:r>
      <w:r>
        <w:rPr>
          <w:rFonts w:hint="eastAsia" w:ascii="仿宋_GB2312" w:hAnsi="仿宋_GB2312" w:cs="仿宋_GB2312"/>
          <w:color w:val="000000"/>
          <w:szCs w:val="32"/>
          <w:lang w:val="en-US" w:eastAsia="zh-CN"/>
        </w:rPr>
        <w:t>7.49</w:t>
      </w:r>
      <w:r>
        <w:rPr>
          <w:rFonts w:hint="eastAsia" w:ascii="仿宋_GB2312" w:hAnsi="仿宋_GB2312" w:eastAsia="仿宋_GB2312" w:cs="仿宋_GB2312"/>
          <w:color w:val="000000"/>
          <w:szCs w:val="32"/>
        </w:rPr>
        <w:t>万元，完成预算100%，决算数等于预算数。</w:t>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4.社会保障和就业支出（类）行政事业单位养老（款）其他行政事业单位养老支出（项）：支出决算为</w:t>
      </w:r>
      <w:r>
        <w:rPr>
          <w:rFonts w:hint="eastAsia" w:ascii="仿宋_GB2312" w:hAnsi="仿宋_GB2312" w:cs="仿宋_GB2312"/>
          <w:color w:val="000000"/>
          <w:szCs w:val="32"/>
          <w:lang w:val="en-US" w:eastAsia="zh-CN"/>
        </w:rPr>
        <w:t>6.97</w:t>
      </w:r>
      <w:r>
        <w:rPr>
          <w:rFonts w:hint="eastAsia" w:ascii="仿宋_GB2312" w:hAnsi="仿宋_GB2312" w:eastAsia="仿宋_GB2312" w:cs="仿宋_GB2312"/>
          <w:color w:val="000000"/>
          <w:szCs w:val="32"/>
        </w:rPr>
        <w:t>万元，完成预算100%，决算数等于预算数</w:t>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5.卫生健康支出（类）行政事业单位医疗（款）行政单位医疗（项）:支出决算为</w:t>
      </w:r>
      <w:r>
        <w:rPr>
          <w:rFonts w:hint="eastAsia" w:ascii="仿宋_GB2312" w:hAnsi="仿宋_GB2312" w:cs="仿宋_GB2312"/>
          <w:color w:val="000000"/>
          <w:szCs w:val="32"/>
          <w:lang w:val="en-US" w:eastAsia="zh-CN"/>
        </w:rPr>
        <w:t>7.09</w:t>
      </w:r>
      <w:r>
        <w:rPr>
          <w:rFonts w:hint="eastAsia" w:ascii="仿宋_GB2312" w:hAnsi="仿宋_GB2312" w:eastAsia="仿宋_GB2312" w:cs="仿宋_GB2312"/>
          <w:color w:val="000000"/>
          <w:szCs w:val="32"/>
        </w:rPr>
        <w:t>万元，完成预算100%，决算数等于预算数。</w:t>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cs="仿宋_GB2312"/>
          <w:color w:val="000000"/>
          <w:szCs w:val="32"/>
          <w:lang w:val="en-US" w:eastAsia="zh-CN"/>
        </w:rPr>
        <w:t>6</w:t>
      </w:r>
      <w:r>
        <w:rPr>
          <w:rFonts w:hint="eastAsia" w:ascii="仿宋_GB2312" w:hAnsi="仿宋_GB2312" w:eastAsia="仿宋_GB2312" w:cs="仿宋_GB2312"/>
          <w:color w:val="000000"/>
          <w:szCs w:val="32"/>
        </w:rPr>
        <w:t>.环境保护支出（类）环境保护管理事务（款）其他环境保护管理事务（项）：支出决算为13.76万元，完成预算100%，决算数等于预算数。</w:t>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cs="仿宋_GB2312"/>
          <w:color w:val="000000"/>
          <w:szCs w:val="32"/>
          <w:lang w:val="en-US" w:eastAsia="zh-CN"/>
        </w:rPr>
        <w:t>7</w:t>
      </w:r>
      <w:r>
        <w:rPr>
          <w:rFonts w:hint="eastAsia" w:ascii="仿宋_GB2312" w:hAnsi="仿宋_GB2312" w:eastAsia="仿宋_GB2312" w:cs="仿宋_GB2312"/>
          <w:color w:val="000000"/>
          <w:szCs w:val="32"/>
        </w:rPr>
        <w:t>.农林水（类）农业农村（款）其他农业农村支出（项）:支出决算为123.20万元，完成预算100%，决算数等于预算数。</w:t>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cs="仿宋_GB2312"/>
          <w:color w:val="000000"/>
          <w:szCs w:val="32"/>
          <w:lang w:val="en-US" w:eastAsia="zh-CN"/>
        </w:rPr>
        <w:t>8</w:t>
      </w:r>
      <w:r>
        <w:rPr>
          <w:rFonts w:hint="eastAsia" w:ascii="仿宋_GB2312" w:hAnsi="仿宋_GB2312" w:eastAsia="仿宋_GB2312" w:cs="仿宋_GB2312"/>
          <w:color w:val="000000"/>
          <w:szCs w:val="32"/>
        </w:rPr>
        <w:t>.交通运输（类）公路水路运输（款）行政运行（项）:支出决算为177.72万元，完成预算100%，决算数等于预算数。</w:t>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cs="仿宋_GB2312"/>
          <w:color w:val="000000"/>
          <w:szCs w:val="32"/>
          <w:lang w:val="en-US" w:eastAsia="zh-CN"/>
        </w:rPr>
        <w:t>9</w:t>
      </w:r>
      <w:r>
        <w:rPr>
          <w:rFonts w:hint="eastAsia" w:ascii="仿宋_GB2312" w:hAnsi="仿宋_GB2312" w:eastAsia="仿宋_GB2312" w:cs="仿宋_GB2312"/>
          <w:color w:val="000000"/>
          <w:szCs w:val="32"/>
        </w:rPr>
        <w:t>.交通运输（类）公路水路运输（款）公路建设（项）:支出决算为3678.79万元，完成预算78.63%，决算数小于预算数的原因主要是2018年财政下达大件路债券资金1000万元因工程未开工资金还没有支付。</w:t>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w:t>
      </w:r>
      <w:r>
        <w:rPr>
          <w:rFonts w:hint="eastAsia" w:ascii="仿宋_GB2312" w:hAnsi="仿宋_GB2312" w:cs="仿宋_GB2312"/>
          <w:color w:val="000000"/>
          <w:szCs w:val="32"/>
          <w:lang w:val="en-US" w:eastAsia="zh-CN"/>
        </w:rPr>
        <w:t>0</w:t>
      </w:r>
      <w:r>
        <w:rPr>
          <w:rFonts w:hint="eastAsia" w:ascii="仿宋_GB2312" w:hAnsi="仿宋_GB2312" w:eastAsia="仿宋_GB2312" w:cs="仿宋_GB2312"/>
          <w:color w:val="000000"/>
          <w:szCs w:val="32"/>
        </w:rPr>
        <w:t>.交通运输（类）公路水路运输（款）公路养护（项）:支出决算为</w:t>
      </w:r>
      <w:r>
        <w:rPr>
          <w:rFonts w:hint="eastAsia" w:ascii="仿宋_GB2312" w:hAnsi="仿宋_GB2312" w:cs="仿宋_GB2312"/>
          <w:color w:val="000000"/>
          <w:szCs w:val="32"/>
          <w:lang w:val="en-US" w:eastAsia="zh-CN"/>
        </w:rPr>
        <w:t>4.28</w:t>
      </w:r>
      <w:r>
        <w:rPr>
          <w:rFonts w:hint="eastAsia" w:ascii="仿宋_GB2312" w:hAnsi="仿宋_GB2312" w:eastAsia="仿宋_GB2312" w:cs="仿宋_GB2312"/>
          <w:color w:val="000000"/>
          <w:szCs w:val="32"/>
        </w:rPr>
        <w:t>万元，完成预算100%，决算数等于预算数。</w:t>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w:t>
      </w:r>
      <w:r>
        <w:rPr>
          <w:rFonts w:hint="eastAsia" w:ascii="仿宋_GB2312" w:hAnsi="仿宋_GB2312" w:cs="仿宋_GB2312"/>
          <w:color w:val="000000"/>
          <w:szCs w:val="32"/>
          <w:lang w:val="en-US" w:eastAsia="zh-CN"/>
        </w:rPr>
        <w:t>1</w:t>
      </w:r>
      <w:r>
        <w:rPr>
          <w:rFonts w:hint="eastAsia" w:ascii="仿宋_GB2312" w:hAnsi="仿宋_GB2312" w:eastAsia="仿宋_GB2312" w:cs="仿宋_GB2312"/>
          <w:color w:val="000000"/>
          <w:szCs w:val="32"/>
        </w:rPr>
        <w:t>.交通运输（类）公路水路运输（款）公路和运输安全（项）:支出决算为</w:t>
      </w:r>
      <w:r>
        <w:rPr>
          <w:rFonts w:hint="eastAsia" w:ascii="仿宋_GB2312" w:hAnsi="仿宋_GB2312" w:cs="仿宋_GB2312"/>
          <w:color w:val="000000"/>
          <w:szCs w:val="32"/>
          <w:lang w:val="en-US" w:eastAsia="zh-CN"/>
        </w:rPr>
        <w:t>19.83</w:t>
      </w:r>
      <w:r>
        <w:rPr>
          <w:rFonts w:hint="eastAsia" w:ascii="仿宋_GB2312" w:hAnsi="仿宋_GB2312" w:eastAsia="仿宋_GB2312" w:cs="仿宋_GB2312"/>
          <w:color w:val="000000"/>
          <w:szCs w:val="32"/>
        </w:rPr>
        <w:t>万元，完成预算100%，决算数等于预算数。</w:t>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w:t>
      </w:r>
      <w:r>
        <w:rPr>
          <w:rFonts w:hint="eastAsia" w:ascii="仿宋_GB2312" w:hAnsi="仿宋_GB2312" w:cs="仿宋_GB2312"/>
          <w:color w:val="000000"/>
          <w:szCs w:val="32"/>
          <w:lang w:val="en-US" w:eastAsia="zh-CN"/>
        </w:rPr>
        <w:t>2</w:t>
      </w:r>
      <w:r>
        <w:rPr>
          <w:rFonts w:hint="eastAsia" w:ascii="仿宋_GB2312" w:hAnsi="仿宋_GB2312" w:eastAsia="仿宋_GB2312" w:cs="仿宋_GB2312"/>
          <w:color w:val="000000"/>
          <w:szCs w:val="32"/>
        </w:rPr>
        <w:t>.交通运输（类）公路水路运输（款）公路运输管理（项）: 支出决算为</w:t>
      </w:r>
      <w:r>
        <w:rPr>
          <w:rFonts w:hint="eastAsia" w:ascii="仿宋_GB2312" w:hAnsi="仿宋_GB2312" w:cs="仿宋_GB2312"/>
          <w:color w:val="000000"/>
          <w:szCs w:val="32"/>
          <w:lang w:val="en-US" w:eastAsia="zh-CN"/>
        </w:rPr>
        <w:t>2.96</w:t>
      </w:r>
      <w:r>
        <w:rPr>
          <w:rFonts w:hint="eastAsia" w:ascii="仿宋_GB2312" w:hAnsi="仿宋_GB2312" w:eastAsia="仿宋_GB2312" w:cs="仿宋_GB2312"/>
          <w:color w:val="000000"/>
          <w:szCs w:val="32"/>
        </w:rPr>
        <w:t>万元，完成预算100%，决算数等于预算数。</w:t>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w:t>
      </w:r>
      <w:r>
        <w:rPr>
          <w:rFonts w:hint="eastAsia" w:ascii="仿宋_GB2312" w:hAnsi="仿宋_GB2312" w:cs="仿宋_GB2312"/>
          <w:color w:val="000000"/>
          <w:szCs w:val="32"/>
          <w:lang w:val="en-US" w:eastAsia="zh-CN"/>
        </w:rPr>
        <w:t>3</w:t>
      </w:r>
      <w:r>
        <w:rPr>
          <w:rFonts w:hint="eastAsia" w:ascii="仿宋_GB2312" w:hAnsi="仿宋_GB2312" w:eastAsia="仿宋_GB2312" w:cs="仿宋_GB2312"/>
          <w:color w:val="000000"/>
          <w:szCs w:val="32"/>
        </w:rPr>
        <w:t>.交通运输（类）公路水路运输（款）其他公路水路运输支出（项）: 支出决算为585.49万元，完成预算100%，决算数等于预算数。</w:t>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w:t>
      </w:r>
      <w:r>
        <w:rPr>
          <w:rFonts w:hint="eastAsia" w:ascii="仿宋_GB2312" w:hAnsi="仿宋_GB2312" w:cs="仿宋_GB2312"/>
          <w:color w:val="000000"/>
          <w:szCs w:val="32"/>
          <w:lang w:val="en-US" w:eastAsia="zh-CN"/>
        </w:rPr>
        <w:t>4</w:t>
      </w:r>
      <w:r>
        <w:rPr>
          <w:rFonts w:hint="eastAsia" w:ascii="仿宋_GB2312" w:hAnsi="仿宋_GB2312" w:eastAsia="仿宋_GB2312" w:cs="仿宋_GB2312"/>
          <w:color w:val="000000"/>
          <w:szCs w:val="32"/>
        </w:rPr>
        <w:t>.交通运输（类）车辆购置税支出（款）车辆购置税用于公路等基础设施建设支出（项）:支出决算为231.90万元，完成预算100%，决算数等于预算数。</w:t>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w:t>
      </w:r>
      <w:r>
        <w:rPr>
          <w:rFonts w:hint="eastAsia" w:ascii="仿宋_GB2312" w:hAnsi="仿宋_GB2312" w:cs="仿宋_GB2312"/>
          <w:color w:val="000000"/>
          <w:szCs w:val="32"/>
          <w:lang w:val="en-US" w:eastAsia="zh-CN"/>
        </w:rPr>
        <w:t>5</w:t>
      </w:r>
      <w:r>
        <w:rPr>
          <w:rFonts w:hint="eastAsia" w:ascii="仿宋_GB2312" w:hAnsi="仿宋_GB2312" w:eastAsia="仿宋_GB2312" w:cs="仿宋_GB2312"/>
          <w:color w:val="000000"/>
          <w:szCs w:val="32"/>
        </w:rPr>
        <w:t>.住房保障（类）住房改革（款）住房公积金（项）: 支出决算为</w:t>
      </w:r>
      <w:r>
        <w:rPr>
          <w:rFonts w:hint="eastAsia" w:ascii="仿宋_GB2312" w:hAnsi="仿宋_GB2312" w:cs="仿宋_GB2312"/>
          <w:color w:val="000000"/>
          <w:szCs w:val="32"/>
          <w:lang w:val="en-US" w:eastAsia="zh-CN"/>
        </w:rPr>
        <w:t>11.22</w:t>
      </w:r>
      <w:r>
        <w:rPr>
          <w:rFonts w:hint="eastAsia" w:ascii="仿宋_GB2312" w:hAnsi="仿宋_GB2312" w:eastAsia="仿宋_GB2312" w:cs="仿宋_GB2312"/>
          <w:color w:val="000000"/>
          <w:szCs w:val="32"/>
        </w:rPr>
        <w:t>万元，完成预算100%，决算数等于预算数。</w:t>
      </w:r>
    </w:p>
    <w:p>
      <w:pPr>
        <w:pageBreakBefore w:val="0"/>
        <w:tabs>
          <w:tab w:val="right" w:pos="8306"/>
        </w:tabs>
        <w:kinsoku/>
        <w:wordWrap/>
        <w:overflowPunct/>
        <w:topLinePunct w:val="0"/>
        <w:bidi w:val="0"/>
        <w:adjustRightInd w:val="0"/>
        <w:snapToGrid w:val="0"/>
        <w:spacing w:line="560" w:lineRule="exact"/>
        <w:ind w:firstLine="640"/>
        <w:outlineLvl w:val="1"/>
        <w:rPr>
          <w:rStyle w:val="14"/>
        </w:rPr>
      </w:pPr>
      <w:bookmarkStart w:id="35" w:name="_Toc15377214"/>
      <w:bookmarkStart w:id="36" w:name="_Toc15396608"/>
      <w:bookmarkStart w:id="37" w:name="_Toc31021"/>
      <w:r>
        <w:rPr>
          <w:rFonts w:hint="eastAsia" w:ascii="黑体" w:eastAsia="黑体"/>
          <w:color w:val="000000"/>
          <w:szCs w:val="32"/>
        </w:rPr>
        <w:t>六</w:t>
      </w:r>
      <w:r>
        <w:rPr>
          <w:rFonts w:hint="eastAsia" w:ascii="黑体" w:eastAsia="黑体"/>
          <w:b/>
          <w:color w:val="000000"/>
          <w:szCs w:val="32"/>
        </w:rPr>
        <w:t>、</w:t>
      </w:r>
      <w:r>
        <w:rPr>
          <w:rFonts w:hint="eastAsia" w:ascii="黑体" w:hAnsi="黑体" w:eastAsia="黑体"/>
          <w:b/>
          <w:color w:val="000000"/>
          <w:szCs w:val="32"/>
        </w:rPr>
        <w:t>一</w:t>
      </w:r>
      <w:r>
        <w:rPr>
          <w:rStyle w:val="14"/>
          <w:rFonts w:hint="eastAsia" w:ascii="黑体" w:hAnsi="黑体" w:eastAsia="黑体"/>
          <w:b w:val="0"/>
        </w:rPr>
        <w:t>般公共预算财政拨款基本支出决算情况说明</w:t>
      </w:r>
      <w:bookmarkEnd w:id="35"/>
      <w:bookmarkEnd w:id="36"/>
      <w:bookmarkEnd w:id="37"/>
      <w:r>
        <w:rPr>
          <w:rStyle w:val="14"/>
          <w:rFonts w:ascii="黑体" w:hAnsi="黑体" w:eastAsia="黑体"/>
          <w:b w:val="0"/>
        </w:rPr>
        <w:tab/>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2020年一般公共预算财政拨款基本支出</w:t>
      </w:r>
      <w:r>
        <w:rPr>
          <w:rFonts w:hint="eastAsia" w:ascii="仿宋_GB2312" w:hAnsi="仿宋_GB2312" w:cs="仿宋_GB2312"/>
          <w:color w:val="000000"/>
          <w:szCs w:val="32"/>
          <w:lang w:val="en-US" w:eastAsia="zh-CN"/>
        </w:rPr>
        <w:t>224.99</w:t>
      </w:r>
      <w:r>
        <w:rPr>
          <w:rFonts w:hint="eastAsia" w:ascii="仿宋_GB2312" w:hAnsi="仿宋_GB2312" w:eastAsia="仿宋_GB2312" w:cs="仿宋_GB2312"/>
          <w:color w:val="000000"/>
          <w:szCs w:val="32"/>
        </w:rPr>
        <w:t>万元，其中：</w:t>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人员经费</w:t>
      </w:r>
      <w:r>
        <w:rPr>
          <w:rFonts w:hint="eastAsia" w:ascii="仿宋_GB2312" w:hAnsi="仿宋_GB2312" w:cs="仿宋_GB2312"/>
          <w:color w:val="000000"/>
          <w:szCs w:val="32"/>
          <w:lang w:val="en-US" w:eastAsia="zh-CN"/>
        </w:rPr>
        <w:t>203.85</w:t>
      </w:r>
      <w:r>
        <w:rPr>
          <w:rFonts w:hint="eastAsia" w:ascii="仿宋_GB2312" w:hAnsi="仿宋_GB2312" w:eastAsia="仿宋_GB2312" w:cs="仿宋_GB2312"/>
          <w:color w:val="000000"/>
          <w:szCs w:val="32"/>
        </w:rPr>
        <w:t>万元，主要包括：基本工资、津贴补贴、奖金、绩效工资、机关事业单位基本养老保险缴费、职业年金缴费、职工基本医疗保险缴费、其他社会保障缴费、其他工资福利支出、住房公积金、其他对个人和家庭的补助支出等。</w:t>
      </w:r>
      <w:r>
        <w:rPr>
          <w:rFonts w:hint="eastAsia" w:ascii="仿宋_GB2312" w:hAnsi="仿宋_GB2312" w:eastAsia="仿宋_GB2312" w:cs="仿宋_GB2312"/>
          <w:color w:val="000000"/>
          <w:szCs w:val="32"/>
        </w:rPr>
        <w:br w:type="textWrapping"/>
      </w:r>
      <w:r>
        <w:rPr>
          <w:rFonts w:hint="eastAsia" w:ascii="仿宋_GB2312" w:hAnsi="仿宋_GB2312" w:eastAsia="仿宋_GB2312" w:cs="仿宋_GB2312"/>
          <w:color w:val="000000"/>
          <w:szCs w:val="32"/>
        </w:rPr>
        <w:t>　　日常公用经费</w:t>
      </w:r>
      <w:r>
        <w:rPr>
          <w:rFonts w:hint="eastAsia" w:ascii="仿宋_GB2312" w:hAnsi="仿宋_GB2312" w:cs="仿宋_GB2312"/>
          <w:color w:val="000000"/>
          <w:szCs w:val="32"/>
          <w:lang w:val="en-US" w:eastAsia="zh-CN"/>
        </w:rPr>
        <w:t>21.14</w:t>
      </w:r>
      <w:r>
        <w:rPr>
          <w:rFonts w:hint="eastAsia" w:ascii="仿宋_GB2312" w:hAnsi="仿宋_GB2312" w:eastAsia="仿宋_GB2312" w:cs="仿宋_GB2312"/>
          <w:color w:val="000000"/>
          <w:szCs w:val="32"/>
        </w:rPr>
        <w:t>万元，主要包括：办公费、手续费、水费、电费、邮电费、物业管理费、差旅费、维修（护）费、租赁费、公务接待费、劳务费、工会经费、其他交通费、其他商品和服务支出等。</w:t>
      </w:r>
    </w:p>
    <w:p>
      <w:pPr>
        <w:pageBreakBefore w:val="0"/>
        <w:kinsoku/>
        <w:wordWrap/>
        <w:overflowPunct/>
        <w:topLinePunct w:val="0"/>
        <w:bidi w:val="0"/>
        <w:adjustRightInd w:val="0"/>
        <w:snapToGrid w:val="0"/>
        <w:spacing w:line="560" w:lineRule="exact"/>
        <w:ind w:firstLine="640"/>
        <w:outlineLvl w:val="1"/>
        <w:rPr>
          <w:rStyle w:val="14"/>
          <w:rFonts w:ascii="黑体" w:hAnsi="黑体" w:eastAsia="黑体"/>
          <w:b w:val="0"/>
        </w:rPr>
      </w:pPr>
      <w:bookmarkStart w:id="38" w:name="_Toc15396609"/>
      <w:bookmarkStart w:id="39" w:name="_Toc15377215"/>
      <w:bookmarkStart w:id="40" w:name="_Toc6926"/>
      <w:r>
        <w:rPr>
          <w:rFonts w:hint="eastAsia" w:ascii="黑体" w:eastAsia="黑体"/>
          <w:color w:val="000000"/>
          <w:szCs w:val="32"/>
        </w:rPr>
        <w:t>七、</w:t>
      </w:r>
      <w:r>
        <w:rPr>
          <w:rStyle w:val="14"/>
          <w:rFonts w:hint="eastAsia" w:ascii="黑体" w:hAnsi="黑体" w:eastAsia="黑体"/>
        </w:rPr>
        <w:t>“</w:t>
      </w:r>
      <w:r>
        <w:rPr>
          <w:rStyle w:val="14"/>
          <w:rFonts w:hint="eastAsia" w:ascii="黑体" w:hAnsi="黑体" w:eastAsia="黑体"/>
          <w:b w:val="0"/>
        </w:rPr>
        <w:t>三公”经费财政拨款支出决算情况说明</w:t>
      </w:r>
      <w:bookmarkEnd w:id="38"/>
      <w:bookmarkEnd w:id="39"/>
      <w:bookmarkEnd w:id="40"/>
    </w:p>
    <w:p>
      <w:pPr>
        <w:pageBreakBefore w:val="0"/>
        <w:kinsoku/>
        <w:wordWrap/>
        <w:overflowPunct/>
        <w:topLinePunct w:val="0"/>
        <w:bidi w:val="0"/>
        <w:adjustRightInd w:val="0"/>
        <w:snapToGrid w:val="0"/>
        <w:spacing w:line="560" w:lineRule="exact"/>
        <w:ind w:firstLine="640"/>
        <w:outlineLvl w:val="2"/>
        <w:rPr>
          <w:rFonts w:hint="eastAsia" w:ascii="楷体_GB2312" w:hAnsi="楷体_GB2312" w:eastAsia="楷体_GB2312" w:cs="楷体_GB2312"/>
          <w:b w:val="0"/>
          <w:bCs/>
          <w:color w:val="000000"/>
          <w:szCs w:val="32"/>
        </w:rPr>
      </w:pPr>
      <w:bookmarkStart w:id="41" w:name="_Toc15377216"/>
      <w:r>
        <w:rPr>
          <w:rFonts w:hint="eastAsia" w:ascii="楷体_GB2312" w:hAnsi="楷体_GB2312" w:eastAsia="楷体_GB2312" w:cs="楷体_GB2312"/>
          <w:b w:val="0"/>
          <w:bCs/>
          <w:color w:val="000000"/>
          <w:szCs w:val="32"/>
        </w:rPr>
        <w:t>（一）“三公”经费财政拨款支出决算总体情况说明</w:t>
      </w:r>
      <w:bookmarkEnd w:id="41"/>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2020年“三公”经费财政拨款支出决算为</w:t>
      </w:r>
      <w:r>
        <w:rPr>
          <w:rFonts w:hint="eastAsia" w:ascii="仿宋_GB2312" w:hAnsi="仿宋_GB2312" w:cs="仿宋_GB2312"/>
          <w:color w:val="000000"/>
          <w:szCs w:val="32"/>
          <w:lang w:val="en-US" w:eastAsia="zh-CN"/>
        </w:rPr>
        <w:t>0.22</w:t>
      </w:r>
      <w:r>
        <w:rPr>
          <w:rFonts w:hint="eastAsia" w:ascii="仿宋_GB2312" w:hAnsi="仿宋_GB2312" w:eastAsia="仿宋_GB2312" w:cs="仿宋_GB2312"/>
          <w:color w:val="000000"/>
          <w:szCs w:val="32"/>
        </w:rPr>
        <w:t>万元，完成预算</w:t>
      </w:r>
      <w:r>
        <w:rPr>
          <w:rFonts w:hint="eastAsia" w:ascii="仿宋_GB2312" w:hAnsi="仿宋_GB2312" w:cs="仿宋_GB2312"/>
          <w:color w:val="000000"/>
          <w:szCs w:val="32"/>
          <w:lang w:val="en-US" w:eastAsia="zh-CN"/>
        </w:rPr>
        <w:t>55</w:t>
      </w:r>
      <w:r>
        <w:rPr>
          <w:rFonts w:hint="eastAsia" w:ascii="仿宋_GB2312" w:hAnsi="仿宋_GB2312" w:eastAsia="仿宋_GB2312" w:cs="仿宋_GB2312"/>
          <w:color w:val="000000"/>
          <w:szCs w:val="32"/>
        </w:rPr>
        <w:t>%，决算数小于预算数的主要原因是公务接待费支出减少。</w:t>
      </w:r>
    </w:p>
    <w:p>
      <w:pPr>
        <w:pageBreakBefore w:val="0"/>
        <w:kinsoku/>
        <w:wordWrap/>
        <w:overflowPunct/>
        <w:topLinePunct w:val="0"/>
        <w:bidi w:val="0"/>
        <w:adjustRightInd w:val="0"/>
        <w:snapToGrid w:val="0"/>
        <w:spacing w:line="560" w:lineRule="exact"/>
        <w:ind w:firstLine="640"/>
        <w:outlineLvl w:val="2"/>
        <w:rPr>
          <w:rFonts w:hint="eastAsia" w:ascii="楷体_GB2312" w:hAnsi="楷体_GB2312" w:eastAsia="楷体_GB2312" w:cs="楷体_GB2312"/>
          <w:b w:val="0"/>
          <w:bCs/>
          <w:color w:val="000000"/>
          <w:szCs w:val="32"/>
        </w:rPr>
      </w:pPr>
      <w:bookmarkStart w:id="42" w:name="_Toc15377217"/>
      <w:r>
        <w:rPr>
          <w:rFonts w:hint="eastAsia" w:ascii="楷体_GB2312" w:hAnsi="楷体_GB2312" w:eastAsia="楷体_GB2312" w:cs="楷体_GB2312"/>
          <w:b w:val="0"/>
          <w:bCs/>
          <w:color w:val="000000"/>
          <w:szCs w:val="32"/>
        </w:rPr>
        <w:t>（二）“三公”经费财政拨款支出决算具体情况说明</w:t>
      </w:r>
      <w:bookmarkEnd w:id="42"/>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2020年“三公”经费财政拨款支出决算中，因公出国（境）费支出决算0万元，占0%；公务用车购置及运行维护费支出决算</w:t>
      </w:r>
      <w:r>
        <w:rPr>
          <w:rFonts w:hint="eastAsia" w:ascii="仿宋_GB2312" w:hAnsi="仿宋_GB2312" w:cs="仿宋_GB2312"/>
          <w:color w:val="000000"/>
          <w:szCs w:val="32"/>
          <w:lang w:val="en-US" w:eastAsia="zh-CN"/>
        </w:rPr>
        <w:t>0</w:t>
      </w:r>
      <w:r>
        <w:rPr>
          <w:rFonts w:hint="eastAsia" w:ascii="仿宋_GB2312" w:hAnsi="仿宋_GB2312" w:eastAsia="仿宋_GB2312" w:cs="仿宋_GB2312"/>
          <w:color w:val="000000"/>
          <w:szCs w:val="32"/>
        </w:rPr>
        <w:t>万元，占</w:t>
      </w:r>
      <w:r>
        <w:rPr>
          <w:rFonts w:hint="eastAsia" w:ascii="仿宋_GB2312" w:hAnsi="仿宋_GB2312" w:cs="仿宋_GB2312"/>
          <w:color w:val="000000"/>
          <w:szCs w:val="32"/>
          <w:lang w:val="en-US" w:eastAsia="zh-CN"/>
        </w:rPr>
        <w:t>0</w:t>
      </w:r>
      <w:r>
        <w:rPr>
          <w:rFonts w:hint="eastAsia" w:ascii="仿宋_GB2312" w:hAnsi="仿宋_GB2312" w:eastAsia="仿宋_GB2312" w:cs="仿宋_GB2312"/>
          <w:color w:val="000000"/>
          <w:szCs w:val="32"/>
        </w:rPr>
        <w:t>%；公务接待费支出决算</w:t>
      </w:r>
      <w:r>
        <w:rPr>
          <w:rFonts w:hint="eastAsia" w:ascii="仿宋_GB2312" w:hAnsi="仿宋_GB2312" w:cs="仿宋_GB2312"/>
          <w:color w:val="000000"/>
          <w:szCs w:val="32"/>
          <w:lang w:val="en-US" w:eastAsia="zh-CN"/>
        </w:rPr>
        <w:t>0.22</w:t>
      </w:r>
      <w:r>
        <w:rPr>
          <w:rFonts w:hint="eastAsia" w:ascii="仿宋_GB2312" w:hAnsi="仿宋_GB2312" w:eastAsia="仿宋_GB2312" w:cs="仿宋_GB2312"/>
          <w:color w:val="000000"/>
          <w:szCs w:val="32"/>
        </w:rPr>
        <w:t>万元，占</w:t>
      </w:r>
      <w:r>
        <w:rPr>
          <w:rFonts w:hint="eastAsia" w:ascii="仿宋_GB2312" w:hAnsi="仿宋_GB2312" w:cs="仿宋_GB2312"/>
          <w:color w:val="000000"/>
          <w:szCs w:val="32"/>
          <w:lang w:val="en-US" w:eastAsia="zh-CN"/>
        </w:rPr>
        <w:t>100</w:t>
      </w:r>
      <w:r>
        <w:rPr>
          <w:rFonts w:hint="eastAsia" w:ascii="仿宋_GB2312" w:hAnsi="仿宋_GB2312" w:eastAsia="仿宋_GB2312" w:cs="仿宋_GB2312"/>
          <w:color w:val="000000"/>
          <w:szCs w:val="32"/>
        </w:rPr>
        <w:t>%。具体情况如下：</w:t>
      </w:r>
    </w:p>
    <w:p>
      <w:pPr>
        <w:keepNext w:val="0"/>
        <w:keepLines w:val="0"/>
        <w:pageBreakBefore w:val="0"/>
        <w:widowControl w:val="0"/>
        <w:kinsoku/>
        <w:wordWrap/>
        <w:overflowPunct/>
        <w:topLinePunct w:val="0"/>
        <w:autoSpaceDE/>
        <w:autoSpaceDN/>
        <w:bidi w:val="0"/>
        <w:adjustRightInd w:val="0"/>
        <w:snapToGrid w:val="0"/>
        <w:spacing w:line="240" w:lineRule="auto"/>
        <w:ind w:firstLine="641"/>
        <w:textAlignment w:val="auto"/>
        <w:rPr>
          <w:rFonts w:ascii="仿宋" w:hAnsi="仿宋" w:eastAsia="仿宋"/>
          <w:color w:val="000000"/>
          <w:szCs w:val="32"/>
        </w:rPr>
      </w:pPr>
      <w:r>
        <w:rPr>
          <w:rFonts w:hint="eastAsia" w:ascii="仿宋" w:hAnsi="仿宋" w:eastAsia="仿宋"/>
          <w:szCs w:val="32"/>
        </w:rPr>
        <w:object>
          <v:shape id="_x0000_i1031" o:spt="75" type="#_x0000_t75" style="height:142.5pt;width:302.25pt;" o:ole="t" filled="f" o:preferrelative="t" stroked="f" coordsize="21600,21600">
            <v:path/>
            <v:fill on="f" focussize="0,0"/>
            <v:stroke on="f"/>
            <v:imagedata r:id="rId18" o:title=""/>
            <o:lock v:ext="edit" aspectratio="t"/>
            <w10:wrap type="none"/>
            <w10:anchorlock/>
          </v:shape>
          <o:OLEObject Type="Embed" ProgID="Excel.Chart.8" ShapeID="_x0000_i1031" DrawAspect="Content" ObjectID="_1468075731" r:id="rId17">
            <o:LockedField>false</o:LockedField>
          </o:OLEObject>
        </w:object>
      </w:r>
    </w:p>
    <w:p>
      <w:pPr>
        <w:pageBreakBefore w:val="0"/>
        <w:kinsoku/>
        <w:wordWrap/>
        <w:overflowPunct/>
        <w:topLinePunct w:val="0"/>
        <w:bidi w:val="0"/>
        <w:adjustRightInd w:val="0"/>
        <w:snapToGrid w:val="0"/>
        <w:spacing w:line="560" w:lineRule="exact"/>
        <w:ind w:firstLine="64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7</w:t>
      </w:r>
      <w:r>
        <w:rPr>
          <w:rFonts w:hint="eastAsia" w:ascii="仿宋" w:hAnsi="仿宋" w:eastAsia="仿宋"/>
          <w:color w:val="000000"/>
          <w:szCs w:val="32"/>
        </w:rPr>
        <w:t>：“三公”经费财政拨款支出结构）（饼状图）</w:t>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1.因公出国（境）经费支出0万元，完成预算0%。与上年持平。</w:t>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2.公务用车购置及运行维护费支出</w:t>
      </w:r>
      <w:r>
        <w:rPr>
          <w:rFonts w:hint="eastAsia" w:ascii="仿宋_GB2312" w:hAnsi="仿宋_GB2312" w:cs="仿宋_GB2312"/>
          <w:color w:val="000000"/>
          <w:szCs w:val="32"/>
          <w:lang w:val="en-US" w:eastAsia="zh-CN"/>
        </w:rPr>
        <w:t>0</w:t>
      </w:r>
      <w:r>
        <w:rPr>
          <w:rFonts w:hint="eastAsia" w:ascii="仿宋_GB2312" w:hAnsi="仿宋_GB2312" w:eastAsia="仿宋_GB2312" w:cs="仿宋_GB2312"/>
          <w:color w:val="000000"/>
          <w:szCs w:val="32"/>
        </w:rPr>
        <w:t>万元,完成预算0%。与上年持平。</w:t>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其中：公务用车购置支出0万元。全年按规定更新购置公务用车0辆，其中：轿车0辆、金额0万元，越野车0辆、金额0万元，载客汽车0辆、金额0万元。截至2020年12月底，单位共有公务用车</w:t>
      </w:r>
      <w:r>
        <w:rPr>
          <w:rFonts w:hint="eastAsia" w:ascii="仿宋_GB2312" w:hAnsi="仿宋_GB2312" w:cs="仿宋_GB2312"/>
          <w:color w:val="000000"/>
          <w:szCs w:val="32"/>
          <w:lang w:val="en-US" w:eastAsia="zh-CN"/>
        </w:rPr>
        <w:t>0</w:t>
      </w:r>
      <w:r>
        <w:rPr>
          <w:rFonts w:hint="eastAsia" w:ascii="仿宋_GB2312" w:hAnsi="仿宋_GB2312" w:eastAsia="仿宋_GB2312" w:cs="仿宋_GB2312"/>
          <w:color w:val="000000"/>
          <w:szCs w:val="32"/>
        </w:rPr>
        <w:t>辆，其中：轿车</w:t>
      </w:r>
      <w:r>
        <w:rPr>
          <w:rFonts w:hint="eastAsia" w:ascii="仿宋_GB2312" w:hAnsi="仿宋_GB2312" w:cs="仿宋_GB2312"/>
          <w:color w:val="000000"/>
          <w:szCs w:val="32"/>
          <w:lang w:val="en-US" w:eastAsia="zh-CN"/>
        </w:rPr>
        <w:t>0</w:t>
      </w:r>
      <w:r>
        <w:rPr>
          <w:rFonts w:hint="eastAsia" w:ascii="仿宋_GB2312" w:hAnsi="仿宋_GB2312" w:eastAsia="仿宋_GB2312" w:cs="仿宋_GB2312"/>
          <w:color w:val="000000"/>
          <w:szCs w:val="32"/>
        </w:rPr>
        <w:t>辆、越野车0辆、载客汽车0辆。</w:t>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公务用车运行维护费支出</w:t>
      </w:r>
      <w:r>
        <w:rPr>
          <w:rFonts w:hint="eastAsia" w:ascii="仿宋_GB2312" w:hAnsi="仿宋_GB2312" w:cs="仿宋_GB2312"/>
          <w:color w:val="000000"/>
          <w:szCs w:val="32"/>
          <w:lang w:val="en-US" w:eastAsia="zh-CN"/>
        </w:rPr>
        <w:t>0</w:t>
      </w:r>
      <w:r>
        <w:rPr>
          <w:rFonts w:hint="eastAsia" w:ascii="仿宋_GB2312" w:hAnsi="仿宋_GB2312" w:eastAsia="仿宋_GB2312" w:cs="仿宋_GB2312"/>
          <w:color w:val="000000"/>
          <w:szCs w:val="32"/>
        </w:rPr>
        <w:t>万元。</w:t>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3.公务接待费支出</w:t>
      </w:r>
      <w:r>
        <w:rPr>
          <w:rFonts w:hint="eastAsia" w:ascii="仿宋_GB2312" w:hAnsi="仿宋_GB2312" w:cs="仿宋_GB2312"/>
          <w:color w:val="000000"/>
          <w:szCs w:val="32"/>
          <w:lang w:val="en-US" w:eastAsia="zh-CN"/>
        </w:rPr>
        <w:t>0.22</w:t>
      </w:r>
      <w:r>
        <w:rPr>
          <w:rFonts w:hint="eastAsia" w:ascii="仿宋_GB2312" w:hAnsi="仿宋_GB2312" w:eastAsia="仿宋_GB2312" w:cs="仿宋_GB2312"/>
          <w:color w:val="000000"/>
          <w:szCs w:val="32"/>
        </w:rPr>
        <w:t>万元，完成预算</w:t>
      </w:r>
      <w:r>
        <w:rPr>
          <w:rFonts w:hint="eastAsia" w:ascii="仿宋_GB2312" w:hAnsi="仿宋_GB2312" w:cs="仿宋_GB2312"/>
          <w:color w:val="000000"/>
          <w:szCs w:val="32"/>
          <w:lang w:val="en-US" w:eastAsia="zh-CN"/>
        </w:rPr>
        <w:t>55</w:t>
      </w:r>
      <w:r>
        <w:rPr>
          <w:rFonts w:hint="eastAsia" w:ascii="仿宋_GB2312" w:hAnsi="仿宋_GB2312" w:eastAsia="仿宋_GB2312" w:cs="仿宋_GB2312"/>
          <w:color w:val="000000"/>
          <w:szCs w:val="32"/>
        </w:rPr>
        <w:t>%。公务接待费支出决算比2019年</w:t>
      </w:r>
      <w:r>
        <w:rPr>
          <w:rFonts w:hint="eastAsia" w:ascii="仿宋_GB2312" w:hAnsi="仿宋_GB2312" w:cs="仿宋_GB2312"/>
          <w:color w:val="000000"/>
          <w:szCs w:val="32"/>
          <w:lang w:eastAsia="zh-CN"/>
        </w:rPr>
        <w:t>增加</w:t>
      </w:r>
      <w:r>
        <w:rPr>
          <w:rFonts w:hint="eastAsia" w:ascii="仿宋_GB2312" w:hAnsi="仿宋_GB2312" w:cs="仿宋_GB2312"/>
          <w:color w:val="000000"/>
          <w:szCs w:val="32"/>
          <w:lang w:val="en-US" w:eastAsia="zh-CN"/>
        </w:rPr>
        <w:t>0.19</w:t>
      </w:r>
      <w:r>
        <w:rPr>
          <w:rFonts w:hint="eastAsia" w:ascii="仿宋_GB2312" w:hAnsi="仿宋_GB2312" w:eastAsia="仿宋_GB2312" w:cs="仿宋_GB2312"/>
          <w:color w:val="000000"/>
          <w:szCs w:val="32"/>
        </w:rPr>
        <w:t>万元，</w:t>
      </w:r>
      <w:r>
        <w:rPr>
          <w:rFonts w:hint="eastAsia" w:ascii="仿宋_GB2312" w:hAnsi="仿宋_GB2312" w:cs="仿宋_GB2312"/>
          <w:color w:val="000000"/>
          <w:szCs w:val="32"/>
          <w:lang w:eastAsia="zh-CN"/>
        </w:rPr>
        <w:t>增长</w:t>
      </w:r>
      <w:r>
        <w:rPr>
          <w:rFonts w:hint="eastAsia" w:ascii="仿宋_GB2312" w:hAnsi="仿宋_GB2312" w:cs="仿宋_GB2312"/>
          <w:color w:val="000000"/>
          <w:szCs w:val="32"/>
          <w:lang w:val="en-US" w:eastAsia="zh-CN"/>
        </w:rPr>
        <w:t>633.33</w:t>
      </w:r>
      <w:r>
        <w:rPr>
          <w:rFonts w:hint="eastAsia" w:ascii="仿宋_GB2312" w:hAnsi="仿宋_GB2312" w:eastAsia="仿宋_GB2312" w:cs="仿宋_GB2312"/>
          <w:color w:val="000000"/>
          <w:szCs w:val="32"/>
        </w:rPr>
        <w:t>%。</w:t>
      </w:r>
      <w:r>
        <w:rPr>
          <w:rFonts w:hint="eastAsia" w:ascii="仿宋_GB2312" w:hAnsi="仿宋" w:eastAsia="仿宋_GB2312" w:cs="仿宋"/>
          <w:color w:val="auto"/>
          <w:sz w:val="32"/>
          <w:szCs w:val="32"/>
        </w:rPr>
        <w:t>原因是</w:t>
      </w:r>
      <w:r>
        <w:rPr>
          <w:rFonts w:hint="default" w:ascii="仿宋_GB2312" w:hAnsi="仿宋" w:eastAsia="仿宋_GB2312" w:cs="仿宋"/>
          <w:color w:val="000000"/>
          <w:sz w:val="32"/>
          <w:szCs w:val="32"/>
          <w:lang w:val="en-US" w:eastAsia="zh-CN"/>
        </w:rPr>
        <w:t>因为今年机构调整，市级下来检查、交接工作</w:t>
      </w:r>
      <w:r>
        <w:rPr>
          <w:rFonts w:hint="eastAsia" w:ascii="仿宋_GB2312" w:hAnsi="仿宋_GB2312" w:eastAsia="仿宋_GB2312" w:cs="仿宋_GB2312"/>
          <w:color w:val="000000"/>
          <w:szCs w:val="32"/>
        </w:rPr>
        <w:t>。其中：</w:t>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国内公务接待支出</w:t>
      </w:r>
      <w:r>
        <w:rPr>
          <w:rFonts w:hint="eastAsia" w:ascii="仿宋_GB2312" w:hAnsi="仿宋_GB2312" w:cs="仿宋_GB2312"/>
          <w:color w:val="000000"/>
          <w:szCs w:val="32"/>
          <w:lang w:val="en-US" w:eastAsia="zh-CN"/>
        </w:rPr>
        <w:t>0.22</w:t>
      </w:r>
      <w:r>
        <w:rPr>
          <w:rFonts w:hint="eastAsia" w:ascii="仿宋_GB2312" w:hAnsi="仿宋_GB2312" w:eastAsia="仿宋_GB2312" w:cs="仿宋_GB2312"/>
          <w:color w:val="000000"/>
          <w:szCs w:val="32"/>
        </w:rPr>
        <w:t>万元，主要用于交通执行公务、开展业务活动开支的交通费、住宿费、用餐费等。国内公务接待</w:t>
      </w:r>
      <w:r>
        <w:rPr>
          <w:rFonts w:hint="eastAsia" w:ascii="仿宋_GB2312" w:hAnsi="仿宋_GB2312" w:cs="仿宋_GB2312"/>
          <w:color w:val="000000"/>
          <w:szCs w:val="32"/>
          <w:lang w:val="en-US" w:eastAsia="zh-CN"/>
        </w:rPr>
        <w:t>3</w:t>
      </w:r>
      <w:r>
        <w:rPr>
          <w:rFonts w:hint="eastAsia" w:ascii="仿宋_GB2312" w:hAnsi="仿宋_GB2312" w:eastAsia="仿宋_GB2312" w:cs="仿宋_GB2312"/>
          <w:color w:val="000000"/>
          <w:szCs w:val="32"/>
        </w:rPr>
        <w:t>批次，</w:t>
      </w:r>
      <w:r>
        <w:rPr>
          <w:rFonts w:hint="eastAsia" w:ascii="仿宋_GB2312" w:hAnsi="仿宋_GB2312" w:cs="仿宋_GB2312"/>
          <w:color w:val="000000"/>
          <w:szCs w:val="32"/>
          <w:lang w:val="en-US" w:eastAsia="zh-CN"/>
        </w:rPr>
        <w:t>21</w:t>
      </w:r>
      <w:r>
        <w:rPr>
          <w:rFonts w:hint="eastAsia" w:ascii="仿宋_GB2312" w:hAnsi="仿宋_GB2312" w:eastAsia="仿宋_GB2312" w:cs="仿宋_GB2312"/>
          <w:color w:val="000000"/>
          <w:szCs w:val="32"/>
        </w:rPr>
        <w:t>人次（不包括陪同人员），共计支出</w:t>
      </w:r>
      <w:r>
        <w:rPr>
          <w:rFonts w:hint="eastAsia" w:ascii="仿宋_GB2312" w:hAnsi="仿宋_GB2312" w:cs="仿宋_GB2312"/>
          <w:color w:val="000000"/>
          <w:szCs w:val="32"/>
          <w:lang w:val="en-US" w:eastAsia="zh-CN"/>
        </w:rPr>
        <w:t>0.22</w:t>
      </w:r>
      <w:r>
        <w:rPr>
          <w:rFonts w:hint="eastAsia" w:ascii="仿宋_GB2312" w:hAnsi="仿宋_GB2312" w:eastAsia="仿宋_GB2312" w:cs="仿宋_GB2312"/>
          <w:color w:val="000000"/>
          <w:szCs w:val="32"/>
        </w:rPr>
        <w:t>万元，具体内容包括：四川省蜀桥公路勘察设计有限公司核查2020年危桥项目0.14万元、自贡市路政支队、自贡市养护段执法区域交接工作0.03万元、自贡市公路管理局、自贡市养护段十三五养护管理路况检测受检指导0.05万元等。</w:t>
      </w:r>
    </w:p>
    <w:p>
      <w:pPr>
        <w:pageBreakBefore w:val="0"/>
        <w:kinsoku/>
        <w:wordWrap/>
        <w:overflowPunct/>
        <w:topLinePunct w:val="0"/>
        <w:bidi w:val="0"/>
        <w:adjustRightInd w:val="0"/>
        <w:snapToGrid w:val="0"/>
        <w:spacing w:line="560" w:lineRule="exact"/>
        <w:ind w:firstLine="64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外事接待支出0万元。</w:t>
      </w:r>
      <w:bookmarkStart w:id="43" w:name="_Toc9843"/>
      <w:bookmarkStart w:id="44" w:name="_Toc15396610"/>
      <w:bookmarkStart w:id="45" w:name="_Toc15377218"/>
    </w:p>
    <w:p>
      <w:pPr>
        <w:pageBreakBefore w:val="0"/>
        <w:kinsoku/>
        <w:wordWrap/>
        <w:overflowPunct/>
        <w:topLinePunct w:val="0"/>
        <w:bidi w:val="0"/>
        <w:adjustRightInd w:val="0"/>
        <w:snapToGrid w:val="0"/>
        <w:spacing w:line="560" w:lineRule="exact"/>
        <w:ind w:firstLine="640"/>
        <w:outlineLvl w:val="1"/>
        <w:rPr>
          <w:rStyle w:val="14"/>
          <w:rFonts w:ascii="黑体" w:hAnsi="黑体" w:eastAsia="黑体"/>
        </w:rPr>
      </w:pPr>
      <w:r>
        <w:rPr>
          <w:rFonts w:hint="eastAsia" w:ascii="黑体" w:eastAsia="黑体"/>
          <w:color w:val="000000"/>
          <w:szCs w:val="32"/>
        </w:rPr>
        <w:t>八、</w:t>
      </w:r>
      <w:r>
        <w:rPr>
          <w:rStyle w:val="14"/>
          <w:rFonts w:hint="eastAsia" w:ascii="黑体" w:hAnsi="黑体" w:eastAsia="黑体"/>
          <w:b w:val="0"/>
        </w:rPr>
        <w:t>政府性基金预算支出决算情况说明</w:t>
      </w:r>
      <w:bookmarkEnd w:id="43"/>
      <w:bookmarkEnd w:id="44"/>
      <w:bookmarkEnd w:id="45"/>
    </w:p>
    <w:p>
      <w:pPr>
        <w:pageBreakBefore w:val="0"/>
        <w:kinsoku/>
        <w:wordWrap/>
        <w:overflowPunct/>
        <w:topLinePunct w:val="0"/>
        <w:bidi w:val="0"/>
        <w:adjustRightInd w:val="0"/>
        <w:snapToGrid w:val="0"/>
        <w:spacing w:line="56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年政府性基金预算拨款支出</w:t>
      </w:r>
      <w:r>
        <w:rPr>
          <w:rFonts w:hint="eastAsia" w:ascii="仿宋_GB2312"/>
          <w:color w:val="000000"/>
          <w:szCs w:val="32"/>
          <w:lang w:val="en-US" w:eastAsia="zh-CN"/>
        </w:rPr>
        <w:t>454.52</w:t>
      </w:r>
      <w:r>
        <w:rPr>
          <w:rFonts w:hint="eastAsia" w:ascii="仿宋_GB2312"/>
          <w:color w:val="000000"/>
          <w:szCs w:val="32"/>
        </w:rPr>
        <w:t>万元。</w:t>
      </w:r>
    </w:p>
    <w:p>
      <w:pPr>
        <w:pageBreakBefore w:val="0"/>
        <w:numPr>
          <w:ilvl w:val="0"/>
          <w:numId w:val="1"/>
        </w:numPr>
        <w:kinsoku/>
        <w:wordWrap/>
        <w:overflowPunct/>
        <w:topLinePunct w:val="0"/>
        <w:bidi w:val="0"/>
        <w:adjustRightInd w:val="0"/>
        <w:snapToGrid w:val="0"/>
        <w:spacing w:line="560" w:lineRule="exact"/>
        <w:ind w:firstLine="640"/>
        <w:outlineLvl w:val="1"/>
        <w:rPr>
          <w:rStyle w:val="14"/>
          <w:rFonts w:ascii="黑体" w:hAnsi="黑体" w:eastAsia="黑体"/>
          <w:b w:val="0"/>
        </w:rPr>
      </w:pPr>
      <w:bookmarkStart w:id="46" w:name="_Toc10775"/>
      <w:bookmarkStart w:id="47" w:name="_Toc15377219"/>
      <w:bookmarkStart w:id="48" w:name="_Toc15396611"/>
      <w:r>
        <w:rPr>
          <w:rStyle w:val="14"/>
          <w:rFonts w:hint="eastAsia" w:ascii="黑体" w:hAnsi="黑体" w:eastAsia="黑体"/>
          <w:b w:val="0"/>
        </w:rPr>
        <w:t>国有资本经营预算支出决算情况说明</w:t>
      </w:r>
      <w:bookmarkEnd w:id="46"/>
      <w:bookmarkEnd w:id="47"/>
      <w:bookmarkEnd w:id="48"/>
    </w:p>
    <w:p>
      <w:pPr>
        <w:pageBreakBefore w:val="0"/>
        <w:kinsoku/>
        <w:wordWrap/>
        <w:overflowPunct/>
        <w:topLinePunct w:val="0"/>
        <w:bidi w:val="0"/>
        <w:adjustRightInd w:val="0"/>
        <w:snapToGrid w:val="0"/>
        <w:spacing w:line="560" w:lineRule="exact"/>
        <w:ind w:firstLine="640"/>
        <w:rPr>
          <w:rFonts w:ascii="方正小标宋简体" w:hAnsi="方正小标宋简体" w:eastAsia="方正小标宋简体" w:cs="方正小标宋简体"/>
          <w:sz w:val="44"/>
          <w:szCs w:val="44"/>
        </w:rPr>
      </w:pPr>
      <w:r>
        <w:rPr>
          <w:rFonts w:ascii="仿宋_GB2312"/>
          <w:color w:val="000000"/>
          <w:szCs w:val="32"/>
        </w:rPr>
        <w:t>2020</w:t>
      </w:r>
      <w:r>
        <w:rPr>
          <w:rFonts w:hint="eastAsia" w:ascii="仿宋_GB2312"/>
          <w:color w:val="000000"/>
          <w:szCs w:val="32"/>
        </w:rPr>
        <w:t>年国有资本经营预算拨款支出0万元。</w:t>
      </w:r>
    </w:p>
    <w:p>
      <w:pPr>
        <w:pageBreakBefore w:val="0"/>
        <w:kinsoku/>
        <w:wordWrap/>
        <w:overflowPunct/>
        <w:topLinePunct w:val="0"/>
        <w:bidi w:val="0"/>
        <w:adjustRightInd w:val="0"/>
        <w:snapToGrid w:val="0"/>
        <w:spacing w:line="560" w:lineRule="exact"/>
        <w:ind w:firstLine="800" w:firstLineChars="250"/>
        <w:outlineLvl w:val="1"/>
        <w:rPr>
          <w:rStyle w:val="14"/>
          <w:rFonts w:ascii="黑体" w:hAnsi="黑体" w:eastAsia="黑体"/>
        </w:rPr>
      </w:pPr>
      <w:bookmarkStart w:id="49" w:name="_Toc15377221"/>
      <w:bookmarkStart w:id="50" w:name="_Toc738"/>
      <w:bookmarkStart w:id="51" w:name="_Toc15396612"/>
      <w:r>
        <w:rPr>
          <w:rFonts w:hint="eastAsia" w:ascii="黑体" w:hAnsi="黑体" w:eastAsia="黑体"/>
          <w:color w:val="000000"/>
          <w:szCs w:val="32"/>
        </w:rPr>
        <w:t>十</w:t>
      </w:r>
      <w:r>
        <w:rPr>
          <w:rStyle w:val="14"/>
          <w:rFonts w:hint="eastAsia" w:ascii="黑体" w:hAnsi="黑体" w:eastAsia="黑体"/>
        </w:rPr>
        <w:t>、</w:t>
      </w:r>
      <w:r>
        <w:rPr>
          <w:rStyle w:val="14"/>
          <w:rFonts w:hint="eastAsia" w:ascii="黑体" w:hAnsi="黑体" w:eastAsia="黑体"/>
          <w:b w:val="0"/>
        </w:rPr>
        <w:t>其他重要事项的情况说明</w:t>
      </w:r>
      <w:bookmarkEnd w:id="49"/>
      <w:bookmarkEnd w:id="50"/>
      <w:bookmarkEnd w:id="51"/>
    </w:p>
    <w:p>
      <w:pPr>
        <w:pageBreakBefore w:val="0"/>
        <w:kinsoku/>
        <w:wordWrap/>
        <w:overflowPunct/>
        <w:topLinePunct w:val="0"/>
        <w:bidi w:val="0"/>
        <w:adjustRightInd w:val="0"/>
        <w:snapToGrid w:val="0"/>
        <w:spacing w:line="560" w:lineRule="exact"/>
        <w:ind w:firstLine="640" w:firstLineChars="200"/>
        <w:outlineLvl w:val="2"/>
        <w:rPr>
          <w:rFonts w:hint="eastAsia" w:ascii="楷体_GB2312" w:hAnsi="楷体_GB2312" w:eastAsia="楷体_GB2312" w:cs="楷体_GB2312"/>
          <w:b w:val="0"/>
          <w:bCs/>
          <w:color w:val="000000"/>
          <w:szCs w:val="32"/>
        </w:rPr>
      </w:pPr>
      <w:bookmarkStart w:id="52" w:name="_Toc15377222"/>
      <w:r>
        <w:rPr>
          <w:rFonts w:hint="eastAsia" w:ascii="楷体_GB2312" w:hAnsi="楷体_GB2312" w:eastAsia="楷体_GB2312" w:cs="楷体_GB2312"/>
          <w:b w:val="0"/>
          <w:bCs/>
          <w:color w:val="000000"/>
          <w:szCs w:val="32"/>
        </w:rPr>
        <w:t>（一）机关运行经费支出情况</w:t>
      </w:r>
      <w:bookmarkEnd w:id="52"/>
    </w:p>
    <w:p>
      <w:pPr>
        <w:pageBreakBefore w:val="0"/>
        <w:kinsoku/>
        <w:wordWrap/>
        <w:overflowPunct/>
        <w:topLinePunct w:val="0"/>
        <w:bidi w:val="0"/>
        <w:adjustRightInd w:val="0"/>
        <w:snapToGrid w:val="0"/>
        <w:spacing w:line="560" w:lineRule="exact"/>
        <w:ind w:firstLine="640" w:firstLineChars="200"/>
        <w:rPr>
          <w:rFonts w:ascii="仿宋_GB2312"/>
          <w:color w:val="auto"/>
          <w:szCs w:val="32"/>
        </w:rPr>
      </w:pPr>
      <w:r>
        <w:rPr>
          <w:rFonts w:ascii="仿宋_GB2312"/>
          <w:color w:val="auto"/>
          <w:szCs w:val="32"/>
        </w:rPr>
        <w:t>2020</w:t>
      </w:r>
      <w:r>
        <w:rPr>
          <w:rFonts w:hint="eastAsia" w:ascii="仿宋_GB2312"/>
          <w:color w:val="auto"/>
          <w:szCs w:val="32"/>
        </w:rPr>
        <w:t>年，</w:t>
      </w:r>
      <w:r>
        <w:rPr>
          <w:rFonts w:hint="eastAsia" w:ascii="仿宋_GB2312" w:hAnsi="仿宋_GB2312" w:cs="仿宋_GB2312"/>
          <w:color w:val="auto"/>
          <w:szCs w:val="32"/>
          <w:lang w:eastAsia="zh-CN"/>
        </w:rPr>
        <w:t>交通局（本级</w:t>
      </w:r>
      <w:r>
        <w:rPr>
          <w:rFonts w:hint="eastAsia" w:ascii="仿宋_GB2312" w:hAnsi="仿宋_GB2312" w:cs="仿宋_GB2312"/>
          <w:color w:val="auto"/>
          <w:szCs w:val="32"/>
          <w:lang w:val="en-US" w:eastAsia="zh-CN"/>
        </w:rPr>
        <w:t>)</w:t>
      </w:r>
      <w:r>
        <w:rPr>
          <w:rFonts w:hint="eastAsia" w:ascii="仿宋_GB2312"/>
          <w:color w:val="auto"/>
          <w:szCs w:val="32"/>
        </w:rPr>
        <w:t>机关运行经费支出</w:t>
      </w:r>
      <w:r>
        <w:rPr>
          <w:rFonts w:hint="eastAsia" w:ascii="仿宋_GB2312"/>
          <w:color w:val="auto"/>
          <w:szCs w:val="32"/>
          <w:lang w:val="en-US" w:eastAsia="zh-CN"/>
        </w:rPr>
        <w:t>21.14</w:t>
      </w:r>
      <w:r>
        <w:rPr>
          <w:rFonts w:hint="eastAsia" w:ascii="仿宋_GB2312"/>
          <w:color w:val="auto"/>
          <w:szCs w:val="32"/>
        </w:rPr>
        <w:t>万元，比</w:t>
      </w:r>
      <w:r>
        <w:rPr>
          <w:rFonts w:ascii="仿宋_GB2312"/>
          <w:color w:val="auto"/>
          <w:szCs w:val="32"/>
        </w:rPr>
        <w:t>2019</w:t>
      </w:r>
      <w:r>
        <w:rPr>
          <w:rFonts w:hint="eastAsia" w:ascii="仿宋_GB2312"/>
          <w:color w:val="auto"/>
          <w:szCs w:val="32"/>
        </w:rPr>
        <w:t>年减少</w:t>
      </w:r>
      <w:r>
        <w:rPr>
          <w:rFonts w:hint="eastAsia" w:ascii="仿宋_GB2312"/>
          <w:color w:val="auto"/>
          <w:szCs w:val="32"/>
          <w:lang w:val="en-US" w:eastAsia="zh-CN"/>
        </w:rPr>
        <w:t>6.03</w:t>
      </w:r>
      <w:r>
        <w:rPr>
          <w:rFonts w:hint="eastAsia" w:ascii="仿宋_GB2312"/>
          <w:color w:val="auto"/>
          <w:szCs w:val="32"/>
        </w:rPr>
        <w:t>万元，下降</w:t>
      </w:r>
      <w:r>
        <w:rPr>
          <w:rFonts w:hint="eastAsia" w:ascii="仿宋_GB2312"/>
          <w:color w:val="auto"/>
          <w:szCs w:val="32"/>
          <w:lang w:val="en-US" w:eastAsia="zh-CN"/>
        </w:rPr>
        <w:t>22.18</w:t>
      </w:r>
      <w:r>
        <w:rPr>
          <w:rFonts w:ascii="仿宋_GB2312"/>
          <w:color w:val="auto"/>
          <w:szCs w:val="32"/>
        </w:rPr>
        <w:t>%</w:t>
      </w:r>
      <w:r>
        <w:rPr>
          <w:rFonts w:hint="eastAsia" w:ascii="仿宋_GB2312"/>
          <w:color w:val="auto"/>
          <w:szCs w:val="32"/>
        </w:rPr>
        <w:t>。主要原因是</w:t>
      </w:r>
      <w:r>
        <w:rPr>
          <w:rFonts w:hint="eastAsia" w:ascii="仿宋_GB2312"/>
          <w:color w:val="auto"/>
          <w:szCs w:val="32"/>
          <w:lang w:val="en-US" w:eastAsia="zh-CN"/>
        </w:rPr>
        <w:t>2020年2月退休2人，使公用经费支出减少</w:t>
      </w:r>
      <w:r>
        <w:rPr>
          <w:rFonts w:hint="eastAsia" w:ascii="仿宋_GB2312"/>
          <w:color w:val="auto"/>
          <w:szCs w:val="32"/>
        </w:rPr>
        <w:t>。</w:t>
      </w:r>
    </w:p>
    <w:p>
      <w:pPr>
        <w:pageBreakBefore w:val="0"/>
        <w:kinsoku/>
        <w:wordWrap/>
        <w:overflowPunct/>
        <w:topLinePunct w:val="0"/>
        <w:bidi w:val="0"/>
        <w:adjustRightInd w:val="0"/>
        <w:snapToGrid w:val="0"/>
        <w:spacing w:line="560" w:lineRule="exact"/>
        <w:ind w:firstLine="640" w:firstLineChars="200"/>
        <w:outlineLvl w:val="2"/>
        <w:rPr>
          <w:rFonts w:hint="eastAsia" w:ascii="楷体_GB2312" w:hAnsi="楷体_GB2312" w:eastAsia="楷体_GB2312" w:cs="楷体_GB2312"/>
          <w:b w:val="0"/>
          <w:bCs/>
          <w:color w:val="000000"/>
          <w:szCs w:val="32"/>
        </w:rPr>
      </w:pPr>
      <w:bookmarkStart w:id="53" w:name="_Toc15377223"/>
      <w:r>
        <w:rPr>
          <w:rFonts w:hint="eastAsia" w:ascii="楷体_GB2312" w:hAnsi="楷体_GB2312" w:eastAsia="楷体_GB2312" w:cs="楷体_GB2312"/>
          <w:b w:val="0"/>
          <w:bCs/>
          <w:color w:val="000000"/>
          <w:szCs w:val="32"/>
        </w:rPr>
        <w:t>（二）政府采购支出情况</w:t>
      </w:r>
      <w:bookmarkEnd w:id="53"/>
    </w:p>
    <w:p>
      <w:pPr>
        <w:pageBreakBefore w:val="0"/>
        <w:kinsoku/>
        <w:wordWrap/>
        <w:overflowPunct/>
        <w:topLinePunct w:val="0"/>
        <w:bidi w:val="0"/>
        <w:adjustRightInd w:val="0"/>
        <w:snapToGrid w:val="0"/>
        <w:spacing w:line="560" w:lineRule="exact"/>
        <w:ind w:firstLine="640" w:firstLineChars="200"/>
        <w:rPr>
          <w:rFonts w:ascii="仿宋_GB2312"/>
          <w:color w:val="auto"/>
          <w:szCs w:val="32"/>
        </w:rPr>
      </w:pPr>
      <w:r>
        <w:rPr>
          <w:rFonts w:ascii="仿宋_GB2312"/>
          <w:color w:val="auto"/>
          <w:szCs w:val="32"/>
        </w:rPr>
        <w:t>2020</w:t>
      </w:r>
      <w:r>
        <w:rPr>
          <w:rFonts w:hint="eastAsia" w:ascii="仿宋_GB2312"/>
          <w:color w:val="auto"/>
          <w:szCs w:val="32"/>
        </w:rPr>
        <w:t>年，</w:t>
      </w:r>
      <w:r>
        <w:rPr>
          <w:rFonts w:hint="eastAsia" w:ascii="仿宋_GB2312" w:hAnsi="仿宋_GB2312" w:cs="仿宋_GB2312"/>
          <w:color w:val="auto"/>
          <w:szCs w:val="32"/>
          <w:lang w:eastAsia="zh-CN"/>
        </w:rPr>
        <w:t>交通局（本级</w:t>
      </w:r>
      <w:r>
        <w:rPr>
          <w:rFonts w:hint="eastAsia" w:ascii="仿宋_GB2312" w:hAnsi="仿宋_GB2312" w:cs="仿宋_GB2312"/>
          <w:color w:val="auto"/>
          <w:szCs w:val="32"/>
          <w:lang w:val="en-US" w:eastAsia="zh-CN"/>
        </w:rPr>
        <w:t>)</w:t>
      </w:r>
      <w:r>
        <w:rPr>
          <w:rFonts w:hint="eastAsia" w:ascii="仿宋_GB2312"/>
          <w:color w:val="auto"/>
          <w:szCs w:val="32"/>
        </w:rPr>
        <w:t>政府采购支出总额</w:t>
      </w:r>
      <w:r>
        <w:rPr>
          <w:rFonts w:hint="eastAsia" w:ascii="仿宋_GB2312"/>
          <w:color w:val="auto"/>
          <w:szCs w:val="32"/>
          <w:lang w:val="en-US" w:eastAsia="zh-CN"/>
        </w:rPr>
        <w:t>120.69</w:t>
      </w:r>
      <w:r>
        <w:rPr>
          <w:rFonts w:hint="eastAsia" w:ascii="仿宋_GB2312"/>
          <w:color w:val="auto"/>
          <w:szCs w:val="32"/>
        </w:rPr>
        <w:t>万元，其中：政府采购货物支出0万元、政府采购工程支出30.69万元、政府采购服务支出</w:t>
      </w:r>
      <w:r>
        <w:rPr>
          <w:rFonts w:hint="eastAsia" w:ascii="仿宋_GB2312"/>
          <w:color w:val="auto"/>
          <w:szCs w:val="32"/>
          <w:lang w:val="en-US" w:eastAsia="zh-CN"/>
        </w:rPr>
        <w:t>90</w:t>
      </w:r>
      <w:r>
        <w:rPr>
          <w:rFonts w:hint="eastAsia" w:ascii="仿宋_GB2312"/>
          <w:color w:val="auto"/>
          <w:szCs w:val="32"/>
        </w:rPr>
        <w:t>万元。主要用于交通工程款支出和道路勘察设计费等。授予中小企业合同金额120.69万元，占政府采购支出总额的</w:t>
      </w:r>
      <w:r>
        <w:rPr>
          <w:rFonts w:hint="eastAsia" w:ascii="仿宋_GB2312"/>
          <w:color w:val="auto"/>
          <w:szCs w:val="32"/>
          <w:lang w:val="en-US" w:eastAsia="zh-CN"/>
        </w:rPr>
        <w:t>100</w:t>
      </w:r>
      <w:r>
        <w:rPr>
          <w:rFonts w:ascii="仿宋_GB2312"/>
          <w:color w:val="auto"/>
          <w:szCs w:val="32"/>
        </w:rPr>
        <w:t>%</w:t>
      </w:r>
      <w:r>
        <w:rPr>
          <w:rFonts w:hint="eastAsia" w:ascii="仿宋_GB2312"/>
          <w:color w:val="auto"/>
          <w:szCs w:val="32"/>
        </w:rPr>
        <w:t>，其中：授予小微企业合同金额120.69万元，占政府采购支出总额的</w:t>
      </w:r>
      <w:r>
        <w:rPr>
          <w:rFonts w:hint="eastAsia" w:ascii="仿宋_GB2312"/>
          <w:color w:val="auto"/>
          <w:szCs w:val="32"/>
          <w:lang w:val="en-US" w:eastAsia="zh-CN"/>
        </w:rPr>
        <w:t>100</w:t>
      </w:r>
      <w:r>
        <w:rPr>
          <w:rFonts w:ascii="仿宋_GB2312"/>
          <w:color w:val="auto"/>
          <w:szCs w:val="32"/>
        </w:rPr>
        <w:t>%</w:t>
      </w:r>
      <w:r>
        <w:rPr>
          <w:rFonts w:hint="eastAsia" w:ascii="仿宋_GB2312"/>
          <w:color w:val="auto"/>
          <w:szCs w:val="32"/>
        </w:rPr>
        <w:t>。</w:t>
      </w:r>
    </w:p>
    <w:p>
      <w:pPr>
        <w:pageBreakBefore w:val="0"/>
        <w:kinsoku/>
        <w:wordWrap/>
        <w:overflowPunct/>
        <w:topLinePunct w:val="0"/>
        <w:bidi w:val="0"/>
        <w:adjustRightInd w:val="0"/>
        <w:snapToGrid w:val="0"/>
        <w:spacing w:line="560" w:lineRule="exact"/>
        <w:ind w:firstLine="640" w:firstLineChars="200"/>
        <w:outlineLvl w:val="2"/>
        <w:rPr>
          <w:rFonts w:hint="eastAsia" w:ascii="楷体_GB2312" w:hAnsi="楷体_GB2312" w:eastAsia="楷体_GB2312" w:cs="楷体_GB2312"/>
          <w:b w:val="0"/>
          <w:bCs/>
          <w:color w:val="000000"/>
          <w:szCs w:val="32"/>
        </w:rPr>
      </w:pPr>
      <w:bookmarkStart w:id="54" w:name="_Toc15377224"/>
      <w:r>
        <w:rPr>
          <w:rFonts w:hint="eastAsia" w:ascii="楷体_GB2312" w:hAnsi="楷体_GB2312" w:eastAsia="楷体_GB2312" w:cs="楷体_GB2312"/>
          <w:b w:val="0"/>
          <w:bCs/>
          <w:color w:val="000000"/>
          <w:szCs w:val="32"/>
        </w:rPr>
        <w:t>（三）国有资产占有使用情况</w:t>
      </w:r>
      <w:bookmarkEnd w:id="54"/>
    </w:p>
    <w:p>
      <w:pPr>
        <w:pageBreakBefore w:val="0"/>
        <w:kinsoku/>
        <w:wordWrap/>
        <w:overflowPunct/>
        <w:topLinePunct w:val="0"/>
        <w:autoSpaceDE w:val="0"/>
        <w:autoSpaceDN w:val="0"/>
        <w:bidi w:val="0"/>
        <w:adjustRightInd w:val="0"/>
        <w:snapToGrid w:val="0"/>
        <w:spacing w:line="560" w:lineRule="exact"/>
        <w:ind w:firstLine="640" w:firstLineChars="200"/>
        <w:jc w:val="left"/>
        <w:rPr>
          <w:rFonts w:ascii="仿宋" w:hAnsi="仿宋" w:eastAsia="仿宋"/>
          <w:b/>
          <w:color w:val="FF0000"/>
          <w:szCs w:val="32"/>
        </w:rPr>
      </w:pPr>
      <w:r>
        <w:rPr>
          <w:rFonts w:hint="eastAsia" w:ascii="仿宋_GB2312"/>
          <w:color w:val="000000"/>
          <w:szCs w:val="32"/>
        </w:rPr>
        <w:t>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w:t>
      </w:r>
      <w:r>
        <w:rPr>
          <w:rFonts w:ascii="仿宋_GB2312"/>
          <w:color w:val="000000"/>
          <w:szCs w:val="32"/>
        </w:rPr>
        <w:t>31</w:t>
      </w:r>
      <w:r>
        <w:rPr>
          <w:rFonts w:hint="eastAsia" w:ascii="仿宋_GB2312"/>
          <w:color w:val="000000"/>
          <w:szCs w:val="32"/>
        </w:rPr>
        <w:t>日，</w:t>
      </w:r>
      <w:r>
        <w:rPr>
          <w:rFonts w:hint="eastAsia" w:ascii="仿宋_GB2312" w:hAnsi="仿宋_GB2312" w:cs="仿宋_GB2312"/>
          <w:szCs w:val="32"/>
          <w:lang w:eastAsia="zh-CN"/>
        </w:rPr>
        <w:t>交通局（本级</w:t>
      </w:r>
      <w:r>
        <w:rPr>
          <w:rFonts w:hint="eastAsia" w:ascii="仿宋_GB2312" w:hAnsi="仿宋_GB2312" w:cs="仿宋_GB2312"/>
          <w:szCs w:val="32"/>
          <w:lang w:val="en-US" w:eastAsia="zh-CN"/>
        </w:rPr>
        <w:t>)</w:t>
      </w:r>
      <w:r>
        <w:rPr>
          <w:rFonts w:hint="eastAsia" w:ascii="仿宋_GB2312"/>
          <w:color w:val="000000"/>
          <w:szCs w:val="32"/>
        </w:rPr>
        <w:t>共有车辆</w:t>
      </w:r>
      <w:r>
        <w:rPr>
          <w:rFonts w:hint="eastAsia" w:ascii="仿宋_GB2312"/>
          <w:color w:val="000000"/>
          <w:szCs w:val="32"/>
          <w:lang w:val="en-US" w:eastAsia="zh-CN"/>
        </w:rPr>
        <w:t>0</w:t>
      </w:r>
      <w:r>
        <w:rPr>
          <w:rFonts w:hint="eastAsia" w:ascii="仿宋_GB2312"/>
          <w:color w:val="000000"/>
          <w:szCs w:val="32"/>
        </w:rPr>
        <w:t>辆，其中：主要领导干部用车0辆、机要通信用车0辆、应急保障用车</w:t>
      </w:r>
      <w:r>
        <w:rPr>
          <w:rFonts w:hint="eastAsia" w:ascii="仿宋_GB2312"/>
          <w:color w:val="000000"/>
          <w:szCs w:val="32"/>
          <w:lang w:val="en-US" w:eastAsia="zh-CN"/>
        </w:rPr>
        <w:t>0</w:t>
      </w:r>
      <w:r>
        <w:rPr>
          <w:rFonts w:hint="eastAsia" w:ascii="仿宋_GB2312"/>
          <w:color w:val="000000"/>
          <w:szCs w:val="32"/>
        </w:rPr>
        <w:t>辆、其他用车</w:t>
      </w:r>
      <w:r>
        <w:rPr>
          <w:rFonts w:hint="eastAsia" w:ascii="仿宋_GB2312"/>
          <w:color w:val="000000"/>
          <w:szCs w:val="32"/>
          <w:lang w:val="en-US" w:eastAsia="zh-CN"/>
        </w:rPr>
        <w:t>0</w:t>
      </w:r>
      <w:r>
        <w:rPr>
          <w:rFonts w:hint="eastAsia" w:ascii="仿宋_GB2312"/>
          <w:color w:val="000000"/>
          <w:szCs w:val="32"/>
        </w:rPr>
        <w:t>辆。其他用车主要是海事处用于执法执勤用车。单价</w:t>
      </w:r>
      <w:r>
        <w:rPr>
          <w:rFonts w:ascii="仿宋_GB2312"/>
          <w:color w:val="000000"/>
          <w:szCs w:val="32"/>
        </w:rPr>
        <w:t>50</w:t>
      </w:r>
      <w:r>
        <w:rPr>
          <w:rFonts w:hint="eastAsia" w:ascii="仿宋_GB2312"/>
          <w:color w:val="000000"/>
          <w:szCs w:val="32"/>
        </w:rPr>
        <w:t>万元以上通用设备0台（套），单价</w:t>
      </w:r>
      <w:r>
        <w:rPr>
          <w:rFonts w:ascii="仿宋_GB2312"/>
          <w:color w:val="000000"/>
          <w:szCs w:val="32"/>
        </w:rPr>
        <w:t>100</w:t>
      </w:r>
      <w:r>
        <w:rPr>
          <w:rFonts w:hint="eastAsia" w:ascii="仿宋_GB2312"/>
          <w:color w:val="000000"/>
          <w:szCs w:val="32"/>
        </w:rPr>
        <w:t>万元以上专用设备0台（套）。</w:t>
      </w:r>
    </w:p>
    <w:p>
      <w:pPr>
        <w:pageBreakBefore w:val="0"/>
        <w:kinsoku/>
        <w:wordWrap/>
        <w:overflowPunct/>
        <w:topLinePunct w:val="0"/>
        <w:bidi w:val="0"/>
        <w:adjustRightInd w:val="0"/>
        <w:snapToGrid w:val="0"/>
        <w:spacing w:line="560" w:lineRule="exact"/>
        <w:ind w:firstLine="640" w:firstLineChars="200"/>
        <w:outlineLvl w:val="2"/>
        <w:rPr>
          <w:rFonts w:hint="eastAsia" w:ascii="楷体_GB2312" w:hAnsi="楷体_GB2312" w:eastAsia="楷体_GB2312" w:cs="楷体_GB2312"/>
          <w:b w:val="0"/>
          <w:bCs/>
          <w:color w:val="000000"/>
          <w:szCs w:val="32"/>
        </w:rPr>
      </w:pPr>
      <w:r>
        <w:rPr>
          <w:rFonts w:hint="eastAsia" w:ascii="楷体_GB2312" w:hAnsi="楷体_GB2312" w:eastAsia="楷体_GB2312" w:cs="楷体_GB2312"/>
          <w:b w:val="0"/>
          <w:bCs/>
          <w:color w:val="000000"/>
          <w:szCs w:val="32"/>
        </w:rPr>
        <w:t>（四）预算绩效管理情况</w:t>
      </w:r>
    </w:p>
    <w:p>
      <w:pPr>
        <w:pageBreakBefore w:val="0"/>
        <w:kinsoku/>
        <w:wordWrap/>
        <w:overflowPunct/>
        <w:topLinePunct w:val="0"/>
        <w:bidi w:val="0"/>
        <w:adjustRightInd w:val="0"/>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根据预算绩效管理要求，本单位在年初预算编制阶段，组织对0个项目开展了预算事前绩效评估，对</w:t>
      </w:r>
      <w:r>
        <w:rPr>
          <w:rFonts w:hint="eastAsia" w:ascii="仿宋_GB2312" w:hAnsi="仿宋_GB2312" w:cs="仿宋_GB2312"/>
          <w:szCs w:val="32"/>
          <w:lang w:val="en-US" w:eastAsia="zh-CN"/>
        </w:rPr>
        <w:t>4</w:t>
      </w:r>
      <w:r>
        <w:rPr>
          <w:rFonts w:hint="eastAsia" w:ascii="仿宋_GB2312" w:hAnsi="仿宋_GB2312" w:cs="仿宋_GB2312"/>
          <w:szCs w:val="32"/>
        </w:rPr>
        <w:t>个项目编制了绩效目标，预算执行过程中，选取</w:t>
      </w:r>
      <w:r>
        <w:rPr>
          <w:rFonts w:hint="eastAsia" w:ascii="仿宋_GB2312" w:hAnsi="仿宋_GB2312" w:cs="仿宋_GB2312"/>
          <w:szCs w:val="32"/>
          <w:lang w:val="en-US" w:eastAsia="zh-CN"/>
        </w:rPr>
        <w:t>5</w:t>
      </w:r>
      <w:r>
        <w:rPr>
          <w:rFonts w:hint="eastAsia" w:ascii="仿宋_GB2312" w:hAnsi="仿宋_GB2312" w:cs="仿宋_GB2312"/>
          <w:szCs w:val="32"/>
        </w:rPr>
        <w:t>个项目开展绩效监控，年终执行完毕后，对</w:t>
      </w:r>
      <w:r>
        <w:rPr>
          <w:rFonts w:hint="eastAsia" w:ascii="仿宋_GB2312" w:hAnsi="仿宋_GB2312" w:cs="仿宋_GB2312"/>
          <w:szCs w:val="32"/>
          <w:lang w:val="en-US" w:eastAsia="zh-CN"/>
        </w:rPr>
        <w:t>5</w:t>
      </w:r>
      <w:r>
        <w:rPr>
          <w:rFonts w:hint="eastAsia" w:ascii="仿宋_GB2312" w:hAnsi="仿宋_GB2312" w:cs="仿宋_GB2312"/>
          <w:szCs w:val="32"/>
        </w:rPr>
        <w:t>个项目开展了绩效目标完成情况自评。</w:t>
      </w:r>
    </w:p>
    <w:p>
      <w:pPr>
        <w:pageBreakBefore w:val="0"/>
        <w:kinsoku/>
        <w:wordWrap/>
        <w:overflowPunct/>
        <w:topLinePunct w:val="0"/>
        <w:bidi w:val="0"/>
        <w:adjustRightInd w:val="0"/>
        <w:snapToGrid w:val="0"/>
        <w:spacing w:line="560" w:lineRule="exact"/>
        <w:ind w:firstLine="640" w:firstLineChars="200"/>
        <w:rPr>
          <w:rFonts w:ascii="仿宋_GB2312" w:hAnsi="仿宋_GB2312" w:cs="仿宋_GB2312"/>
          <w:szCs w:val="32"/>
        </w:rPr>
      </w:pPr>
      <w:r>
        <w:rPr>
          <w:rFonts w:hint="eastAsia" w:ascii="仿宋_GB2312" w:hAnsi="仿宋_GB2312" w:cs="仿宋_GB2312"/>
          <w:szCs w:val="32"/>
        </w:rPr>
        <w:t>本单位按要</w:t>
      </w:r>
      <w:r>
        <w:rPr>
          <w:rFonts w:hint="eastAsia" w:ascii="仿宋_GB2312" w:hAnsi="仿宋_GB2312" w:cs="仿宋_GB2312"/>
          <w:szCs w:val="32"/>
          <w:lang w:eastAsia="zh-CN"/>
        </w:rPr>
        <w:t>未</w:t>
      </w:r>
      <w:r>
        <w:rPr>
          <w:rFonts w:hint="eastAsia" w:ascii="仿宋_GB2312" w:hAnsi="仿宋_GB2312" w:cs="仿宋_GB2312"/>
          <w:szCs w:val="32"/>
        </w:rPr>
        <w:t>对</w:t>
      </w:r>
      <w:r>
        <w:rPr>
          <w:rFonts w:ascii="仿宋_GB2312" w:hAnsi="仿宋_GB2312" w:cs="仿宋_GB2312"/>
          <w:szCs w:val="32"/>
        </w:rPr>
        <w:t>2020</w:t>
      </w:r>
      <w:r>
        <w:rPr>
          <w:rFonts w:hint="eastAsia" w:ascii="仿宋_GB2312" w:hAnsi="仿宋_GB2312" w:cs="仿宋_GB2312"/>
          <w:szCs w:val="32"/>
        </w:rPr>
        <w:t>年部门整体支出开展绩效自评，本部门还自行组织了</w:t>
      </w:r>
      <w:r>
        <w:rPr>
          <w:rFonts w:hint="eastAsia" w:ascii="仿宋_GB2312" w:hAnsi="仿宋_GB2312" w:cs="仿宋_GB2312"/>
          <w:szCs w:val="32"/>
          <w:lang w:val="en-US" w:eastAsia="zh-CN"/>
        </w:rPr>
        <w:t>5</w:t>
      </w:r>
      <w:r>
        <w:rPr>
          <w:rFonts w:hint="eastAsia" w:ascii="仿宋_GB2312" w:hAnsi="仿宋_GB2312" w:cs="仿宋_GB2312"/>
          <w:szCs w:val="32"/>
        </w:rPr>
        <w:t>个项目支出绩效评价，从评价情况来看，</w:t>
      </w:r>
      <w:r>
        <w:rPr>
          <w:rFonts w:hint="eastAsia" w:ascii="仿宋_GB2312" w:hAnsi="仿宋_GB2312" w:cs="仿宋_GB2312"/>
          <w:szCs w:val="32"/>
          <w:lang w:val="en-US" w:eastAsia="zh-CN"/>
        </w:rPr>
        <w:t>5</w:t>
      </w:r>
      <w:r>
        <w:rPr>
          <w:rFonts w:hint="eastAsia" w:ascii="仿宋_GB2312" w:hAnsi="仿宋_GB2312" w:cs="仿宋_GB2312"/>
          <w:szCs w:val="32"/>
        </w:rPr>
        <w:t>个项目均较好地完成了绩效目标，各项数量指标和质量指标完成情况良好，取得了较好的经济效益、社会效益、生态效益，群众满意度均在95%以上。</w:t>
      </w:r>
    </w:p>
    <w:p>
      <w:pPr>
        <w:pageBreakBefore w:val="0"/>
        <w:kinsoku/>
        <w:wordWrap/>
        <w:overflowPunct/>
        <w:topLinePunct w:val="0"/>
        <w:bidi w:val="0"/>
        <w:adjustRightInd w:val="0"/>
        <w:snapToGrid w:val="0"/>
        <w:spacing w:line="560" w:lineRule="exact"/>
        <w:ind w:firstLine="643" w:firstLineChars="200"/>
        <w:rPr>
          <w:rFonts w:hint="eastAsia" w:ascii="仿宋_GB2312" w:hAnsi="仿宋_GB2312" w:cs="仿宋_GB2312"/>
          <w:color w:val="auto"/>
          <w:szCs w:val="32"/>
        </w:rPr>
      </w:pPr>
      <w:r>
        <w:rPr>
          <w:rFonts w:hint="eastAsia" w:ascii="仿宋_GB2312" w:hAnsi="仿宋_GB2312" w:cs="仿宋_GB2312"/>
          <w:b/>
          <w:bCs/>
          <w:color w:val="auto"/>
          <w:szCs w:val="32"/>
          <w:lang w:val="en-US" w:eastAsia="zh-CN"/>
        </w:rPr>
        <w:t>1.</w:t>
      </w:r>
      <w:r>
        <w:rPr>
          <w:rFonts w:hint="eastAsia" w:ascii="仿宋_GB2312" w:hAnsi="仿宋_GB2312" w:cs="仿宋_GB2312"/>
          <w:b/>
          <w:bCs/>
          <w:color w:val="auto"/>
          <w:szCs w:val="32"/>
        </w:rPr>
        <w:t>项目绩效目标完成情况。</w:t>
      </w:r>
      <w:r>
        <w:rPr>
          <w:rFonts w:hint="eastAsia" w:ascii="仿宋_GB2312" w:hAnsi="仿宋_GB2312" w:cs="仿宋_GB2312"/>
          <w:color w:val="auto"/>
          <w:szCs w:val="32"/>
        </w:rPr>
        <w:t>本部门在2020年度部门决算中反映“乡村道路管养以奖代补”、“</w:t>
      </w:r>
      <w:r>
        <w:rPr>
          <w:rFonts w:hint="eastAsia" w:ascii="仿宋_GB2312" w:hAnsi="仿宋_GB2312" w:cs="仿宋_GB2312"/>
          <w:color w:val="auto"/>
          <w:szCs w:val="32"/>
          <w:lang w:eastAsia="zh-CN"/>
        </w:rPr>
        <w:t>交通环保工作专项经费</w:t>
      </w:r>
      <w:r>
        <w:rPr>
          <w:rFonts w:hint="eastAsia" w:ascii="仿宋_GB2312" w:hAnsi="仿宋_GB2312" w:cs="仿宋_GB2312"/>
          <w:color w:val="auto"/>
          <w:szCs w:val="32"/>
        </w:rPr>
        <w:t>”、“</w:t>
      </w:r>
      <w:r>
        <w:rPr>
          <w:rFonts w:hint="eastAsia" w:ascii="仿宋_GB2312" w:hAnsi="仿宋_GB2312" w:cs="仿宋_GB2312"/>
          <w:color w:val="auto"/>
          <w:szCs w:val="32"/>
          <w:lang w:eastAsia="zh-CN"/>
        </w:rPr>
        <w:t>乡</w:t>
      </w:r>
      <w:r>
        <w:rPr>
          <w:rFonts w:hint="eastAsia" w:ascii="仿宋_GB2312" w:hAnsi="仿宋_GB2312" w:cs="仿宋_GB2312"/>
          <w:color w:val="auto"/>
          <w:szCs w:val="32"/>
        </w:rPr>
        <w:t>道日常养护”“村道建设监督管理”、“交通运输安全监管及应急演练专项经费”等5个项目绩效目标实际完成情况。</w:t>
      </w:r>
    </w:p>
    <w:p>
      <w:pPr>
        <w:pageBreakBefore w:val="0"/>
        <w:kinsoku/>
        <w:wordWrap/>
        <w:overflowPunct/>
        <w:topLinePunct w:val="0"/>
        <w:bidi w:val="0"/>
        <w:adjustRightInd w:val="0"/>
        <w:snapToGrid w:val="0"/>
        <w:spacing w:line="560" w:lineRule="exact"/>
        <w:ind w:firstLine="640" w:firstLineChars="200"/>
        <w:rPr>
          <w:rFonts w:ascii="仿宋_GB2312" w:hAnsi="仿宋_GB2312" w:cs="仿宋_GB2312"/>
          <w:color w:val="auto"/>
          <w:szCs w:val="32"/>
        </w:rPr>
      </w:pPr>
      <w:r>
        <w:rPr>
          <w:rFonts w:hint="eastAsia" w:ascii="仿宋_GB2312" w:hAnsi="仿宋_GB2312" w:cs="仿宋_GB2312"/>
          <w:color w:val="auto"/>
          <w:szCs w:val="32"/>
        </w:rPr>
        <w:t>（</w:t>
      </w:r>
      <w:r>
        <w:rPr>
          <w:rFonts w:ascii="仿宋_GB2312" w:hAnsi="仿宋_GB2312" w:cs="仿宋_GB2312"/>
          <w:color w:val="auto"/>
          <w:szCs w:val="32"/>
        </w:rPr>
        <w:t>1</w:t>
      </w:r>
      <w:r>
        <w:rPr>
          <w:rFonts w:hint="eastAsia" w:ascii="仿宋_GB2312" w:hAnsi="仿宋_GB2312" w:cs="仿宋_GB2312"/>
          <w:color w:val="auto"/>
          <w:szCs w:val="32"/>
        </w:rPr>
        <w:t>）乡村道路管养以奖代补项目绩效目标完成情况综述。项目全年预算数20万元，执行数为20万元，完成预算的100</w:t>
      </w:r>
      <w:r>
        <w:rPr>
          <w:rFonts w:ascii="仿宋_GB2312" w:hAnsi="仿宋_GB2312" w:cs="仿宋_GB2312"/>
          <w:color w:val="auto"/>
          <w:szCs w:val="32"/>
        </w:rPr>
        <w:t>%</w:t>
      </w:r>
      <w:r>
        <w:rPr>
          <w:rFonts w:hint="eastAsia" w:ascii="仿宋_GB2312" w:hAnsi="仿宋_GB2312" w:cs="仿宋_GB2312"/>
          <w:color w:val="auto"/>
          <w:szCs w:val="32"/>
        </w:rPr>
        <w:t>。通过项目实施，提高了镇村加强公路养护工作的积极性，健全了养护制度、落实了养护责任，全区88公里乡道、619.5公里村道得到全面养护，发生险情得到及时处置，保障了安全畅通，没有发生一起安全事故。发现的主要问题：奖补资金较少。下一步改进措施：适当增加农村公路养护的奖补资金，促进我区农村公路向“四好农村公路”全面迈进。</w:t>
      </w:r>
    </w:p>
    <w:p>
      <w:pPr>
        <w:pageBreakBefore w:val="0"/>
        <w:kinsoku/>
        <w:wordWrap/>
        <w:overflowPunct/>
        <w:topLinePunct w:val="0"/>
        <w:bidi w:val="0"/>
        <w:adjustRightInd w:val="0"/>
        <w:snapToGrid w:val="0"/>
        <w:spacing w:line="560" w:lineRule="exact"/>
        <w:ind w:firstLine="640" w:firstLineChars="200"/>
        <w:rPr>
          <w:rFonts w:hint="eastAsia" w:ascii="仿宋" w:hAnsi="仿宋" w:eastAsia="仿宋" w:cs="仿宋"/>
          <w:color w:val="auto"/>
          <w:sz w:val="32"/>
          <w:szCs w:val="32"/>
        </w:rPr>
      </w:pPr>
      <w:r>
        <w:rPr>
          <w:rFonts w:hint="eastAsia" w:ascii="仿宋_GB2312" w:hAnsi="仿宋_GB2312" w:cs="仿宋_GB2312"/>
          <w:color w:val="auto"/>
          <w:szCs w:val="32"/>
        </w:rPr>
        <w:t>（</w:t>
      </w:r>
      <w:r>
        <w:rPr>
          <w:rFonts w:ascii="仿宋_GB2312" w:hAnsi="仿宋_GB2312" w:cs="仿宋_GB2312"/>
          <w:color w:val="auto"/>
          <w:szCs w:val="32"/>
        </w:rPr>
        <w:t>2</w:t>
      </w:r>
      <w:r>
        <w:rPr>
          <w:rFonts w:hint="eastAsia" w:ascii="仿宋_GB2312" w:hAnsi="仿宋_GB2312" w:cs="仿宋_GB2312"/>
          <w:color w:val="auto"/>
          <w:szCs w:val="32"/>
        </w:rPr>
        <w:t>）交通环保工作专项经费项目绩效目标完成情况综述。项目全年预算数</w:t>
      </w:r>
      <w:r>
        <w:rPr>
          <w:rFonts w:hint="eastAsia" w:ascii="仿宋_GB2312" w:hAnsi="仿宋_GB2312" w:cs="仿宋_GB2312"/>
          <w:color w:val="auto"/>
          <w:szCs w:val="32"/>
          <w:lang w:val="en-US" w:eastAsia="zh-CN"/>
        </w:rPr>
        <w:t>8.18</w:t>
      </w:r>
      <w:r>
        <w:rPr>
          <w:rFonts w:hint="eastAsia" w:ascii="仿宋_GB2312" w:hAnsi="仿宋_GB2312" w:cs="仿宋_GB2312"/>
          <w:color w:val="auto"/>
          <w:szCs w:val="32"/>
        </w:rPr>
        <w:t>万元，执行数为</w:t>
      </w:r>
      <w:r>
        <w:rPr>
          <w:rFonts w:hint="eastAsia" w:ascii="仿宋_GB2312" w:hAnsi="仿宋_GB2312" w:cs="仿宋_GB2312"/>
          <w:color w:val="auto"/>
          <w:szCs w:val="32"/>
          <w:lang w:val="en-US" w:eastAsia="zh-CN"/>
        </w:rPr>
        <w:t>8.18</w:t>
      </w:r>
      <w:r>
        <w:rPr>
          <w:rFonts w:hint="eastAsia" w:ascii="仿宋_GB2312" w:hAnsi="仿宋_GB2312" w:cs="仿宋_GB2312"/>
          <w:color w:val="auto"/>
          <w:szCs w:val="32"/>
        </w:rPr>
        <w:t>万元，完成预算的100%。通过项目实施，</w:t>
      </w:r>
      <w:r>
        <w:rPr>
          <w:rFonts w:hint="eastAsia" w:ascii="仿宋" w:hAnsi="仿宋" w:eastAsia="仿宋" w:cs="仿宋"/>
          <w:i w:val="0"/>
          <w:color w:val="auto"/>
          <w:kern w:val="0"/>
          <w:sz w:val="32"/>
          <w:szCs w:val="32"/>
          <w:u w:val="none"/>
          <w:lang w:val="en-US" w:eastAsia="zh-CN" w:bidi="ar"/>
        </w:rPr>
        <w:t>强化交通行业环保治理督查工作；保障道路管养、工程施工</w:t>
      </w:r>
      <w:r>
        <w:rPr>
          <w:rFonts w:hint="eastAsia" w:ascii="仿宋" w:hAnsi="仿宋" w:eastAsia="仿宋" w:cs="仿宋"/>
          <w:i w:val="0"/>
          <w:color w:val="000000"/>
          <w:kern w:val="0"/>
          <w:sz w:val="32"/>
          <w:szCs w:val="32"/>
          <w:u w:val="none"/>
          <w:lang w:val="en-US" w:eastAsia="zh-CN" w:bidi="ar"/>
        </w:rPr>
        <w:t>符合环保规范，县乡道路及交通建设工地的保洁降尘达标；完成汽修业户废物处置和喷烤漆房改造升级。</w:t>
      </w:r>
      <w:r>
        <w:rPr>
          <w:rFonts w:hint="eastAsia" w:ascii="仿宋" w:hAnsi="仿宋" w:eastAsia="仿宋" w:cs="仿宋"/>
          <w:color w:val="auto"/>
          <w:sz w:val="32"/>
          <w:szCs w:val="32"/>
        </w:rPr>
        <w:t>发现的主要问题：</w:t>
      </w:r>
      <w:r>
        <w:rPr>
          <w:rFonts w:hint="eastAsia" w:ascii="仿宋" w:hAnsi="仿宋" w:eastAsia="仿宋" w:cs="仿宋"/>
          <w:color w:val="auto"/>
          <w:sz w:val="32"/>
          <w:szCs w:val="32"/>
          <w:lang w:eastAsia="zh-CN"/>
        </w:rPr>
        <w:t>资金少，难于达到预定果</w:t>
      </w:r>
      <w:r>
        <w:rPr>
          <w:rFonts w:hint="eastAsia" w:ascii="仿宋" w:hAnsi="仿宋" w:eastAsia="仿宋" w:cs="仿宋"/>
          <w:color w:val="auto"/>
          <w:sz w:val="32"/>
          <w:szCs w:val="32"/>
        </w:rPr>
        <w:t>。下一步改进措施：</w:t>
      </w:r>
      <w:r>
        <w:rPr>
          <w:rFonts w:hint="eastAsia" w:ascii="仿宋" w:hAnsi="仿宋" w:eastAsia="仿宋" w:cs="仿宋"/>
          <w:i w:val="0"/>
          <w:color w:val="auto"/>
          <w:kern w:val="0"/>
          <w:sz w:val="32"/>
          <w:szCs w:val="32"/>
          <w:u w:val="none"/>
          <w:lang w:val="en-US" w:eastAsia="zh-CN" w:bidi="ar"/>
        </w:rPr>
        <w:t>有效治理扬尘，提升沿线居民居住及出行环境</w:t>
      </w:r>
      <w:r>
        <w:rPr>
          <w:rFonts w:hint="eastAsia" w:ascii="仿宋" w:hAnsi="仿宋" w:eastAsia="仿宋" w:cs="仿宋"/>
          <w:color w:val="auto"/>
          <w:sz w:val="32"/>
          <w:szCs w:val="32"/>
        </w:rPr>
        <w:t>。</w:t>
      </w:r>
    </w:p>
    <w:p>
      <w:pPr>
        <w:pageBreakBefore w:val="0"/>
        <w:kinsoku/>
        <w:wordWrap/>
        <w:overflowPunct/>
        <w:topLinePunct w:val="0"/>
        <w:bidi w:val="0"/>
        <w:adjustRightInd w:val="0"/>
        <w:snapToGrid w:val="0"/>
        <w:spacing w:line="560" w:lineRule="exact"/>
        <w:ind w:firstLine="640" w:firstLineChars="200"/>
        <w:rPr>
          <w:rFonts w:hint="eastAsia" w:ascii="仿宋_GB2312" w:hAnsi="仿宋_GB2312" w:cs="仿宋_GB2312"/>
          <w:color w:val="auto"/>
          <w:szCs w:val="32"/>
        </w:rPr>
      </w:pPr>
      <w:r>
        <w:rPr>
          <w:rFonts w:hint="eastAsia" w:ascii="仿宋_GB2312" w:hAnsi="仿宋_GB2312" w:cs="仿宋_GB2312"/>
          <w:color w:val="auto"/>
          <w:szCs w:val="32"/>
        </w:rPr>
        <w:t>（</w:t>
      </w:r>
      <w:r>
        <w:rPr>
          <w:rFonts w:ascii="仿宋_GB2312" w:hAnsi="仿宋_GB2312" w:cs="仿宋_GB2312"/>
          <w:color w:val="auto"/>
          <w:szCs w:val="32"/>
        </w:rPr>
        <w:t>3</w:t>
      </w:r>
      <w:r>
        <w:rPr>
          <w:rFonts w:hint="eastAsia" w:ascii="仿宋_GB2312" w:hAnsi="仿宋_GB2312" w:cs="仿宋_GB2312"/>
          <w:color w:val="auto"/>
          <w:szCs w:val="32"/>
        </w:rPr>
        <w:t>）</w:t>
      </w:r>
      <w:r>
        <w:rPr>
          <w:rFonts w:hint="eastAsia" w:ascii="仿宋_GB2312" w:hAnsi="仿宋_GB2312" w:cs="仿宋_GB2312"/>
          <w:color w:val="auto"/>
          <w:szCs w:val="32"/>
          <w:lang w:eastAsia="zh-CN"/>
        </w:rPr>
        <w:t>乡</w:t>
      </w:r>
      <w:r>
        <w:rPr>
          <w:rFonts w:hint="eastAsia" w:ascii="仿宋_GB2312" w:hAnsi="仿宋_GB2312" w:cs="仿宋_GB2312"/>
          <w:color w:val="auto"/>
          <w:szCs w:val="32"/>
        </w:rPr>
        <w:t>道日常</w:t>
      </w:r>
      <w:r>
        <w:rPr>
          <w:rFonts w:hint="eastAsia" w:ascii="仿宋_GB2312" w:hAnsi="仿宋_GB2312" w:cs="仿宋_GB2312"/>
          <w:color w:val="auto"/>
          <w:szCs w:val="32"/>
          <w:lang w:eastAsia="zh-CN"/>
        </w:rPr>
        <w:t>养护</w:t>
      </w:r>
      <w:r>
        <w:rPr>
          <w:rFonts w:hint="eastAsia" w:ascii="仿宋_GB2312" w:hAnsi="仿宋_GB2312" w:cs="仿宋_GB2312"/>
          <w:color w:val="auto"/>
          <w:szCs w:val="32"/>
        </w:rPr>
        <w:t>项目绩效目标完成情况综述。项目全年预算数</w:t>
      </w:r>
      <w:r>
        <w:rPr>
          <w:rFonts w:hint="eastAsia" w:ascii="仿宋_GB2312" w:hAnsi="仿宋_GB2312" w:cs="仿宋_GB2312"/>
          <w:color w:val="auto"/>
          <w:szCs w:val="32"/>
          <w:lang w:val="en-US" w:eastAsia="zh-CN"/>
        </w:rPr>
        <w:t>30.80</w:t>
      </w:r>
      <w:r>
        <w:rPr>
          <w:rFonts w:hint="eastAsia" w:ascii="仿宋_GB2312" w:hAnsi="仿宋_GB2312" w:cs="仿宋_GB2312"/>
          <w:color w:val="auto"/>
          <w:szCs w:val="32"/>
        </w:rPr>
        <w:t>万元，执行数为</w:t>
      </w:r>
      <w:r>
        <w:rPr>
          <w:rFonts w:hint="eastAsia" w:ascii="仿宋_GB2312" w:hAnsi="仿宋_GB2312" w:cs="仿宋_GB2312"/>
          <w:color w:val="auto"/>
          <w:szCs w:val="32"/>
          <w:lang w:val="en-US" w:eastAsia="zh-CN"/>
        </w:rPr>
        <w:t>30.8</w:t>
      </w:r>
      <w:r>
        <w:rPr>
          <w:rFonts w:hint="eastAsia" w:ascii="仿宋_GB2312" w:hAnsi="仿宋_GB2312" w:cs="仿宋_GB2312"/>
          <w:color w:val="auto"/>
          <w:szCs w:val="32"/>
        </w:rPr>
        <w:t>万元，完成预算的100%。通过项目实施，通过项目实施，全区</w:t>
      </w:r>
      <w:r>
        <w:rPr>
          <w:rFonts w:hint="eastAsia" w:ascii="仿宋_GB2312" w:hAnsi="仿宋_GB2312" w:cs="仿宋_GB2312"/>
          <w:color w:val="auto"/>
          <w:szCs w:val="32"/>
          <w:lang w:val="en-US" w:eastAsia="zh-CN"/>
        </w:rPr>
        <w:t>75</w:t>
      </w:r>
      <w:r>
        <w:rPr>
          <w:rFonts w:hint="eastAsia" w:ascii="仿宋_GB2312" w:hAnsi="仿宋_GB2312" w:cs="仿宋_GB2312"/>
          <w:color w:val="auto"/>
          <w:szCs w:val="32"/>
        </w:rPr>
        <w:t>公里</w:t>
      </w:r>
      <w:r>
        <w:rPr>
          <w:rFonts w:hint="eastAsia" w:ascii="仿宋_GB2312" w:hAnsi="仿宋_GB2312" w:cs="仿宋_GB2312"/>
          <w:color w:val="auto"/>
          <w:szCs w:val="32"/>
          <w:lang w:eastAsia="zh-CN"/>
        </w:rPr>
        <w:t>乡</w:t>
      </w:r>
      <w:r>
        <w:rPr>
          <w:rFonts w:hint="eastAsia" w:ascii="仿宋_GB2312" w:hAnsi="仿宋_GB2312" w:cs="仿宋_GB2312"/>
          <w:color w:val="auto"/>
          <w:szCs w:val="32"/>
        </w:rPr>
        <w:t>道得到全面养护，发生险情得到及时处置，保障了安全畅通，没有发生一起安全事故。通过加强日常养护，并整合资金对重车碾压、水毁等造成的损毁路段进行小修和大中修，全区</w:t>
      </w:r>
      <w:r>
        <w:rPr>
          <w:rFonts w:hint="eastAsia" w:ascii="仿宋_GB2312" w:hAnsi="仿宋_GB2312" w:cs="仿宋_GB2312"/>
          <w:color w:val="auto"/>
          <w:szCs w:val="32"/>
          <w:lang w:eastAsia="zh-CN"/>
        </w:rPr>
        <w:t>乡</w:t>
      </w:r>
      <w:r>
        <w:rPr>
          <w:rFonts w:hint="eastAsia" w:ascii="仿宋_GB2312" w:hAnsi="仿宋_GB2312" w:cs="仿宋_GB2312"/>
          <w:color w:val="auto"/>
          <w:szCs w:val="32"/>
        </w:rPr>
        <w:t>道公路整洁顺畅，为群众提供了舒适便捷的生产生活出行条件，保障了农村各种经济作物、粮食和其它生产资料的运输条件较好地带动沿线及周边的产业发展，受益群众达50万人以上；同时，整洁、顺畅的公路环境也会带动基层干部及居民修路护路的积极性，对居民养成良好生活习惯和美化生产生活环境也起到促进作用。发现的主要问题：随着材料、人工的价格的不断上涨，保持原本养护效果的难度越来越大急需提高养护资金补助标准。下一步改进措施：适当提高县道的养护标准，促进我区农村公路向“四好农村公路”全面迈进。</w:t>
      </w:r>
    </w:p>
    <w:p>
      <w:pPr>
        <w:pageBreakBefore w:val="0"/>
        <w:kinsoku/>
        <w:wordWrap/>
        <w:overflowPunct/>
        <w:topLinePunct w:val="0"/>
        <w:bidi w:val="0"/>
        <w:adjustRightInd w:val="0"/>
        <w:snapToGrid w:val="0"/>
        <w:spacing w:line="560" w:lineRule="exact"/>
        <w:ind w:firstLine="640" w:firstLineChars="200"/>
        <w:rPr>
          <w:rFonts w:hint="eastAsia" w:ascii="仿宋_GB2312" w:hAnsi="仿宋_GB2312" w:cs="仿宋_GB2312"/>
          <w:color w:val="auto"/>
          <w:szCs w:val="32"/>
        </w:rPr>
      </w:pPr>
      <w:r>
        <w:rPr>
          <w:rFonts w:hint="eastAsia" w:ascii="仿宋_GB2312" w:hAnsi="仿宋_GB2312" w:cs="仿宋_GB2312"/>
          <w:color w:val="auto"/>
          <w:szCs w:val="32"/>
        </w:rPr>
        <w:t>(4)“村道建设监督管理”项目绩效目标完成情况综述。项目全年预算数14.04万元，执行数为14.04万元，完成预算的100%。通过项目实施，村道建设工作有序进行，责任落实到位，建设质量和安全得到保障，没有质量和安全事故发生，已完工优良路率为100%；当年村道建设使沿线镇村生产总值增长2%，人均收入增长2%，有效带动了地方经济的发展。发现的主要问题：分管交通的领导、交通员或村干部变动频繁。下一步改进措施：加强技术指导和培训工作的持续性。</w:t>
      </w:r>
    </w:p>
    <w:p>
      <w:pPr>
        <w:pageBreakBefore w:val="0"/>
        <w:kinsoku/>
        <w:wordWrap/>
        <w:overflowPunct/>
        <w:topLinePunct w:val="0"/>
        <w:bidi w:val="0"/>
        <w:adjustRightInd w:val="0"/>
        <w:snapToGrid w:val="0"/>
        <w:spacing w:line="560" w:lineRule="exact"/>
        <w:ind w:firstLine="640" w:firstLineChars="200"/>
        <w:rPr>
          <w:rFonts w:hint="eastAsia" w:ascii="仿宋_GB2312" w:hAnsi="仿宋_GB2312" w:cs="仿宋_GB2312"/>
          <w:color w:val="auto"/>
          <w:szCs w:val="32"/>
        </w:rPr>
      </w:pPr>
      <w:r>
        <w:rPr>
          <w:rFonts w:hint="eastAsia" w:ascii="仿宋_GB2312" w:hAnsi="仿宋_GB2312" w:cs="仿宋_GB2312"/>
          <w:color w:val="auto"/>
          <w:szCs w:val="32"/>
        </w:rPr>
        <w:t>(5)“交通运输安全监管及应急演练专项经费”项目绩效目标完成情况综述。项目全年预算数10.89万元，执行数为5.56万元，完成预算的51.06%。通过项目实施，发生险情得到及时处置，保障了安全畅通，没有发生一起安全事故。财政资金全部用于安全生产工作，资金使用效率高。经调查，受益群众满意度达96%。全年未发生有责一般事故，未发生较大安全事故。发现的主要问题：辖区安全生产保持了总体稳定，但依然存在部分道路特别是年久失修的道路桥梁，没有安排应急处置资金，由于财政资金短缺，上级补助资金难以争取等问题未能得到及时处置。下一步改进措施：加强交通安全监管工作，争取项目资金。</w:t>
      </w:r>
    </w:p>
    <w:p>
      <w:pPr>
        <w:pageBreakBefore w:val="0"/>
        <w:kinsoku/>
        <w:wordWrap/>
        <w:overflowPunct/>
        <w:topLinePunct w:val="0"/>
        <w:bidi w:val="0"/>
        <w:adjustRightInd w:val="0"/>
        <w:snapToGrid w:val="0"/>
        <w:spacing w:line="560" w:lineRule="exact"/>
        <w:ind w:firstLine="640" w:firstLineChars="200"/>
        <w:rPr>
          <w:rFonts w:ascii="仿宋_GB2312" w:hAnsi="仿宋_GB2312" w:cs="仿宋_GB2312"/>
          <w:color w:val="FF0000"/>
          <w:szCs w:val="32"/>
        </w:rPr>
      </w:pPr>
    </w:p>
    <w:tbl>
      <w:tblPr>
        <w:tblStyle w:val="9"/>
        <w:tblW w:w="10229" w:type="dxa"/>
        <w:jc w:val="center"/>
        <w:tblInd w:w="0" w:type="dxa"/>
        <w:tblLayout w:type="fixed"/>
        <w:tblCellMar>
          <w:top w:w="0" w:type="dxa"/>
          <w:left w:w="0" w:type="dxa"/>
          <w:bottom w:w="0" w:type="dxa"/>
          <w:right w:w="0" w:type="dxa"/>
        </w:tblCellMar>
      </w:tblPr>
      <w:tblGrid>
        <w:gridCol w:w="960"/>
        <w:gridCol w:w="1550"/>
        <w:gridCol w:w="1200"/>
        <w:gridCol w:w="83"/>
        <w:gridCol w:w="1783"/>
        <w:gridCol w:w="2261"/>
        <w:gridCol w:w="589"/>
        <w:gridCol w:w="1803"/>
      </w:tblGrid>
      <w:tr>
        <w:tblPrEx>
          <w:tblLayout w:type="fixed"/>
          <w:tblCellMar>
            <w:top w:w="0" w:type="dxa"/>
            <w:left w:w="0" w:type="dxa"/>
            <w:bottom w:w="0" w:type="dxa"/>
            <w:right w:w="0" w:type="dxa"/>
          </w:tblCellMar>
        </w:tblPrEx>
        <w:trPr>
          <w:trHeight w:val="1034" w:hRule="atLeast"/>
          <w:jc w:val="center"/>
        </w:trPr>
        <w:tc>
          <w:tcPr>
            <w:tcW w:w="10229" w:type="dxa"/>
            <w:gridSpan w:val="8"/>
            <w:noWrap/>
            <w:tcMar>
              <w:top w:w="15" w:type="dxa"/>
              <w:left w:w="15" w:type="dxa"/>
              <w:bottom w:w="0" w:type="dxa"/>
              <w:right w:w="15" w:type="dxa"/>
            </w:tcMar>
            <w:vAlign w:val="center"/>
          </w:tcPr>
          <w:p>
            <w:pPr>
              <w:pStyle w:val="15"/>
              <w:pageBreakBefore w:val="0"/>
              <w:widowControl/>
              <w:kinsoku/>
              <w:wordWrap/>
              <w:overflowPunct/>
              <w:topLinePunct w:val="0"/>
              <w:bidi w:val="0"/>
              <w:adjustRightInd w:val="0"/>
              <w:snapToGrid w:val="0"/>
              <w:spacing w:line="560" w:lineRule="exact"/>
              <w:ind w:firstLine="0" w:firstLineChars="0"/>
              <w:textAlignment w:val="center"/>
              <w:rPr>
                <w:rFonts w:ascii="黑体" w:hAnsi="黑体" w:eastAsia="黑体" w:cs="宋体"/>
                <w:bCs/>
                <w:color w:val="auto"/>
                <w:kern w:val="0"/>
                <w:sz w:val="36"/>
                <w:szCs w:val="36"/>
              </w:rPr>
            </w:pPr>
          </w:p>
          <w:p>
            <w:pPr>
              <w:pStyle w:val="15"/>
              <w:pageBreakBefore w:val="0"/>
              <w:widowControl/>
              <w:kinsoku/>
              <w:wordWrap/>
              <w:overflowPunct/>
              <w:topLinePunct w:val="0"/>
              <w:bidi w:val="0"/>
              <w:adjustRightInd w:val="0"/>
              <w:snapToGrid w:val="0"/>
              <w:spacing w:line="560" w:lineRule="exact"/>
              <w:ind w:firstLine="0" w:firstLineChars="0"/>
              <w:jc w:val="center"/>
              <w:textAlignment w:val="center"/>
              <w:rPr>
                <w:rFonts w:ascii="宋体" w:hAnsi="宋体" w:cs="宋体"/>
                <w:color w:val="auto"/>
                <w:sz w:val="36"/>
                <w:szCs w:val="36"/>
              </w:rPr>
            </w:pPr>
            <w:r>
              <w:rPr>
                <w:rFonts w:hint="eastAsia" w:ascii="黑体" w:hAnsi="黑体" w:eastAsia="黑体" w:cs="宋体"/>
                <w:bCs/>
                <w:color w:val="auto"/>
                <w:kern w:val="0"/>
                <w:sz w:val="36"/>
                <w:szCs w:val="36"/>
              </w:rPr>
              <w:t>项目支出绩效目标完成情况表</w:t>
            </w:r>
            <w:r>
              <w:rPr>
                <w:rFonts w:hint="eastAsia" w:ascii="宋体" w:hAnsi="宋体" w:cs="宋体"/>
                <w:b/>
                <w:bCs/>
                <w:color w:val="auto"/>
                <w:kern w:val="0"/>
                <w:sz w:val="36"/>
                <w:szCs w:val="36"/>
              </w:rPr>
              <w:br w:type="textWrapping"/>
            </w:r>
            <w:r>
              <w:rPr>
                <w:rFonts w:hint="eastAsia" w:ascii="宋体" w:hAnsi="宋体" w:cs="宋体"/>
                <w:color w:val="auto"/>
                <w:kern w:val="0"/>
                <w:sz w:val="36"/>
                <w:szCs w:val="36"/>
              </w:rPr>
              <w:t>(2020年度)</w:t>
            </w:r>
          </w:p>
        </w:tc>
      </w:tr>
      <w:tr>
        <w:tblPrEx>
          <w:tblLayout w:type="fixed"/>
          <w:tblCellMar>
            <w:top w:w="0" w:type="dxa"/>
            <w:left w:w="0" w:type="dxa"/>
            <w:bottom w:w="0" w:type="dxa"/>
            <w:right w:w="0" w:type="dxa"/>
          </w:tblCellMar>
        </w:tblPrEx>
        <w:trPr>
          <w:trHeight w:val="276" w:hRule="atLeast"/>
          <w:jc w:val="center"/>
        </w:trPr>
        <w:tc>
          <w:tcPr>
            <w:tcW w:w="371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项目名称</w:t>
            </w:r>
          </w:p>
        </w:tc>
        <w:tc>
          <w:tcPr>
            <w:tcW w:w="6519" w:type="dxa"/>
            <w:gridSpan w:val="5"/>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乡村道路养护管理以奖代补</w:t>
            </w:r>
          </w:p>
        </w:tc>
      </w:tr>
      <w:tr>
        <w:tblPrEx>
          <w:tblLayout w:type="fixed"/>
          <w:tblCellMar>
            <w:top w:w="0" w:type="dxa"/>
            <w:left w:w="0" w:type="dxa"/>
            <w:bottom w:w="0" w:type="dxa"/>
            <w:right w:w="0" w:type="dxa"/>
          </w:tblCellMar>
        </w:tblPrEx>
        <w:trPr>
          <w:trHeight w:val="276" w:hRule="atLeast"/>
          <w:jc w:val="center"/>
        </w:trPr>
        <w:tc>
          <w:tcPr>
            <w:tcW w:w="371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预算单位</w:t>
            </w:r>
          </w:p>
        </w:tc>
        <w:tc>
          <w:tcPr>
            <w:tcW w:w="6519" w:type="dxa"/>
            <w:gridSpan w:val="5"/>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自贡市贡井区交通运输局</w:t>
            </w:r>
          </w:p>
        </w:tc>
      </w:tr>
      <w:tr>
        <w:tblPrEx>
          <w:tblLayout w:type="fixed"/>
          <w:tblCellMar>
            <w:top w:w="0" w:type="dxa"/>
            <w:left w:w="0" w:type="dxa"/>
            <w:bottom w:w="0" w:type="dxa"/>
            <w:right w:w="0" w:type="dxa"/>
          </w:tblCellMar>
        </w:tblPrEx>
        <w:trPr>
          <w:trHeight w:val="276" w:hRule="atLeast"/>
          <w:jc w:val="center"/>
        </w:trPr>
        <w:tc>
          <w:tcPr>
            <w:tcW w:w="960"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预算执行情况(万元)</w:t>
            </w:r>
          </w:p>
        </w:tc>
        <w:tc>
          <w:tcPr>
            <w:tcW w:w="2750"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预算数:</w:t>
            </w:r>
          </w:p>
        </w:tc>
        <w:tc>
          <w:tcPr>
            <w:tcW w:w="1866"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20</w:t>
            </w:r>
          </w:p>
        </w:tc>
        <w:tc>
          <w:tcPr>
            <w:tcW w:w="226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执行数:</w:t>
            </w:r>
          </w:p>
        </w:tc>
        <w:tc>
          <w:tcPr>
            <w:tcW w:w="2392"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20</w:t>
            </w:r>
          </w:p>
        </w:tc>
      </w:tr>
      <w:tr>
        <w:tblPrEx>
          <w:tblLayout w:type="fixed"/>
          <w:tblCellMar>
            <w:top w:w="0" w:type="dxa"/>
            <w:left w:w="0" w:type="dxa"/>
            <w:bottom w:w="0" w:type="dxa"/>
            <w:right w:w="0" w:type="dxa"/>
          </w:tblCellMar>
        </w:tblPrEx>
        <w:trPr>
          <w:trHeight w:val="212"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2750"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其中-财政拨款:</w:t>
            </w:r>
          </w:p>
        </w:tc>
        <w:tc>
          <w:tcPr>
            <w:tcW w:w="1866"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20</w:t>
            </w:r>
          </w:p>
        </w:tc>
        <w:tc>
          <w:tcPr>
            <w:tcW w:w="226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其中-财政拨款:</w:t>
            </w:r>
          </w:p>
        </w:tc>
        <w:tc>
          <w:tcPr>
            <w:tcW w:w="2392"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20</w:t>
            </w:r>
          </w:p>
        </w:tc>
      </w:tr>
      <w:tr>
        <w:tblPrEx>
          <w:tblLayout w:type="fixed"/>
          <w:tblCellMar>
            <w:top w:w="0" w:type="dxa"/>
            <w:left w:w="0" w:type="dxa"/>
            <w:bottom w:w="0" w:type="dxa"/>
            <w:right w:w="0" w:type="dxa"/>
          </w:tblCellMar>
        </w:tblPrEx>
        <w:trPr>
          <w:trHeight w:val="482"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2750"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其它资金:</w:t>
            </w:r>
          </w:p>
        </w:tc>
        <w:tc>
          <w:tcPr>
            <w:tcW w:w="1866"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0</w:t>
            </w:r>
          </w:p>
        </w:tc>
        <w:tc>
          <w:tcPr>
            <w:tcW w:w="226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其它资金:</w:t>
            </w:r>
          </w:p>
        </w:tc>
        <w:tc>
          <w:tcPr>
            <w:tcW w:w="2392"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bidi w:val="0"/>
              <w:adjustRightInd w:val="0"/>
              <w:snapToGrid w:val="0"/>
              <w:spacing w:line="560" w:lineRule="exact"/>
              <w:jc w:val="center"/>
              <w:rPr>
                <w:rFonts w:ascii="宋体" w:hAnsi="宋体" w:cs="宋体"/>
                <w:color w:val="auto"/>
                <w:sz w:val="24"/>
              </w:rPr>
            </w:pPr>
          </w:p>
        </w:tc>
      </w:tr>
      <w:tr>
        <w:tblPrEx>
          <w:tblLayout w:type="fixed"/>
          <w:tblCellMar>
            <w:top w:w="0" w:type="dxa"/>
            <w:left w:w="0" w:type="dxa"/>
            <w:bottom w:w="0" w:type="dxa"/>
            <w:right w:w="0" w:type="dxa"/>
          </w:tblCellMar>
        </w:tblPrEx>
        <w:trPr>
          <w:trHeight w:val="276" w:hRule="atLeast"/>
          <w:jc w:val="center"/>
        </w:trPr>
        <w:tc>
          <w:tcPr>
            <w:tcW w:w="960"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年度目标完成情况</w:t>
            </w:r>
          </w:p>
        </w:tc>
        <w:tc>
          <w:tcPr>
            <w:tcW w:w="4616"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预期目标</w:t>
            </w:r>
          </w:p>
        </w:tc>
        <w:tc>
          <w:tcPr>
            <w:tcW w:w="4653"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实际完成目标</w:t>
            </w:r>
          </w:p>
        </w:tc>
      </w:tr>
      <w:tr>
        <w:tblPrEx>
          <w:tblLayout w:type="fixed"/>
          <w:tblCellMar>
            <w:top w:w="0" w:type="dxa"/>
            <w:left w:w="0" w:type="dxa"/>
            <w:bottom w:w="0" w:type="dxa"/>
            <w:right w:w="0" w:type="dxa"/>
          </w:tblCellMar>
        </w:tblPrEx>
        <w:trPr>
          <w:trHeight w:val="1159"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4616"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管养责任到路到人；实现乡村级道路708公里的养护全覆盖；养护作业规范；应急抢险及时；监督检查到位。</w:t>
            </w:r>
          </w:p>
        </w:tc>
        <w:tc>
          <w:tcPr>
            <w:tcW w:w="4653"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管养责任到路到人；实现了乡村级道路708公里的养护全覆盖；养护作业规范；应急抢险及时；监督检查到位。</w:t>
            </w:r>
          </w:p>
        </w:tc>
      </w:tr>
      <w:tr>
        <w:tblPrEx>
          <w:tblLayout w:type="fixed"/>
          <w:tblCellMar>
            <w:top w:w="0" w:type="dxa"/>
            <w:left w:w="0" w:type="dxa"/>
            <w:bottom w:w="0" w:type="dxa"/>
            <w:right w:w="0" w:type="dxa"/>
          </w:tblCellMar>
        </w:tblPrEx>
        <w:trPr>
          <w:trHeight w:val="713" w:hRule="atLeast"/>
          <w:jc w:val="center"/>
        </w:trPr>
        <w:tc>
          <w:tcPr>
            <w:tcW w:w="960"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绩效指标完成情况</w:t>
            </w:r>
          </w:p>
        </w:tc>
        <w:tc>
          <w:tcPr>
            <w:tcW w:w="155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一级指标</w:t>
            </w:r>
          </w:p>
        </w:tc>
        <w:tc>
          <w:tcPr>
            <w:tcW w:w="12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二级指标</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三级指标</w:t>
            </w:r>
          </w:p>
        </w:tc>
        <w:tc>
          <w:tcPr>
            <w:tcW w:w="2850"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预期指标值(包含数字及文字描述)</w:t>
            </w:r>
          </w:p>
        </w:tc>
        <w:tc>
          <w:tcPr>
            <w:tcW w:w="180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实际完成指标值(包含数字及文字描述)</w:t>
            </w:r>
          </w:p>
        </w:tc>
      </w:tr>
      <w:tr>
        <w:tblPrEx>
          <w:tblLayout w:type="fixed"/>
          <w:tblCellMar>
            <w:top w:w="0" w:type="dxa"/>
            <w:left w:w="0" w:type="dxa"/>
            <w:bottom w:w="0" w:type="dxa"/>
            <w:right w:w="0" w:type="dxa"/>
          </w:tblCellMar>
        </w:tblPrEx>
        <w:trPr>
          <w:trHeight w:val="808"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55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项目完成指标</w:t>
            </w:r>
          </w:p>
        </w:tc>
        <w:tc>
          <w:tcPr>
            <w:tcW w:w="12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数量指标</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管养里程</w:t>
            </w:r>
          </w:p>
        </w:tc>
        <w:tc>
          <w:tcPr>
            <w:tcW w:w="2850"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村道619.85公里</w:t>
            </w:r>
          </w:p>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乡道88公里，实行全覆盖</w:t>
            </w:r>
          </w:p>
        </w:tc>
        <w:tc>
          <w:tcPr>
            <w:tcW w:w="180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村道619.85公里</w:t>
            </w:r>
          </w:p>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乡道88公里，实现了全覆盖</w:t>
            </w:r>
          </w:p>
        </w:tc>
      </w:tr>
      <w:tr>
        <w:tblPrEx>
          <w:tblLayout w:type="fixed"/>
          <w:tblCellMar>
            <w:top w:w="0" w:type="dxa"/>
            <w:left w:w="0" w:type="dxa"/>
            <w:bottom w:w="0" w:type="dxa"/>
            <w:right w:w="0" w:type="dxa"/>
          </w:tblCellMar>
        </w:tblPrEx>
        <w:trPr>
          <w:trHeight w:val="452"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55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项目完成指标</w:t>
            </w:r>
          </w:p>
        </w:tc>
        <w:tc>
          <w:tcPr>
            <w:tcW w:w="12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数量指标</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以奖代补资金</w:t>
            </w:r>
          </w:p>
        </w:tc>
        <w:tc>
          <w:tcPr>
            <w:tcW w:w="2850"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200000</w:t>
            </w:r>
          </w:p>
        </w:tc>
        <w:tc>
          <w:tcPr>
            <w:tcW w:w="180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200000</w:t>
            </w:r>
          </w:p>
        </w:tc>
      </w:tr>
      <w:tr>
        <w:tblPrEx>
          <w:tblLayout w:type="fixed"/>
          <w:tblCellMar>
            <w:top w:w="0" w:type="dxa"/>
            <w:left w:w="0" w:type="dxa"/>
            <w:bottom w:w="0" w:type="dxa"/>
            <w:right w:w="0" w:type="dxa"/>
          </w:tblCellMar>
        </w:tblPrEx>
        <w:trPr>
          <w:trHeight w:val="514"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55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项目完成指标</w:t>
            </w:r>
          </w:p>
        </w:tc>
        <w:tc>
          <w:tcPr>
            <w:tcW w:w="12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数量指标</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乡村道优良路率</w:t>
            </w:r>
          </w:p>
        </w:tc>
        <w:tc>
          <w:tcPr>
            <w:tcW w:w="2850"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70%以上</w:t>
            </w:r>
          </w:p>
        </w:tc>
        <w:tc>
          <w:tcPr>
            <w:tcW w:w="180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73%</w:t>
            </w:r>
          </w:p>
        </w:tc>
      </w:tr>
      <w:tr>
        <w:tblPrEx>
          <w:tblLayout w:type="fixed"/>
          <w:tblCellMar>
            <w:top w:w="0" w:type="dxa"/>
            <w:left w:w="0" w:type="dxa"/>
            <w:bottom w:w="0" w:type="dxa"/>
            <w:right w:w="0" w:type="dxa"/>
          </w:tblCellMar>
        </w:tblPrEx>
        <w:trPr>
          <w:trHeight w:val="747"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55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kern w:val="0"/>
                <w:sz w:val="24"/>
              </w:rPr>
            </w:pPr>
            <w:r>
              <w:rPr>
                <w:rFonts w:hint="eastAsia" w:ascii="宋体" w:hAnsi="宋体" w:cs="宋体"/>
                <w:color w:val="auto"/>
                <w:kern w:val="0"/>
                <w:sz w:val="24"/>
              </w:rPr>
              <w:t>项目完成指标</w:t>
            </w:r>
          </w:p>
        </w:tc>
        <w:tc>
          <w:tcPr>
            <w:tcW w:w="12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质量指标</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管养效果</w:t>
            </w:r>
          </w:p>
        </w:tc>
        <w:tc>
          <w:tcPr>
            <w:tcW w:w="2850"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路面平整整洁；边坡平顺；边沟桥涵畅通无堵塞。</w:t>
            </w:r>
          </w:p>
        </w:tc>
        <w:tc>
          <w:tcPr>
            <w:tcW w:w="180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合格</w:t>
            </w:r>
          </w:p>
        </w:tc>
      </w:tr>
      <w:tr>
        <w:tblPrEx>
          <w:tblLayout w:type="fixed"/>
          <w:tblCellMar>
            <w:top w:w="0" w:type="dxa"/>
            <w:left w:w="0" w:type="dxa"/>
            <w:bottom w:w="0" w:type="dxa"/>
            <w:right w:w="0" w:type="dxa"/>
          </w:tblCellMar>
        </w:tblPrEx>
        <w:trPr>
          <w:trHeight w:val="597"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55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项目完成指标</w:t>
            </w:r>
          </w:p>
        </w:tc>
        <w:tc>
          <w:tcPr>
            <w:tcW w:w="12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时效指标</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养护时间</w:t>
            </w:r>
          </w:p>
        </w:tc>
        <w:tc>
          <w:tcPr>
            <w:tcW w:w="2850"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养护保通-每月</w:t>
            </w:r>
          </w:p>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应急处置-及时</w:t>
            </w:r>
          </w:p>
        </w:tc>
        <w:tc>
          <w:tcPr>
            <w:tcW w:w="180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养护保通-每月</w:t>
            </w:r>
          </w:p>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应急处置-及时</w:t>
            </w:r>
          </w:p>
        </w:tc>
      </w:tr>
      <w:tr>
        <w:tblPrEx>
          <w:tblLayout w:type="fixed"/>
          <w:tblCellMar>
            <w:top w:w="0" w:type="dxa"/>
            <w:left w:w="0" w:type="dxa"/>
            <w:bottom w:w="0" w:type="dxa"/>
            <w:right w:w="0" w:type="dxa"/>
          </w:tblCellMar>
        </w:tblPrEx>
        <w:trPr>
          <w:trHeight w:val="647"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55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效益指标</w:t>
            </w:r>
          </w:p>
        </w:tc>
        <w:tc>
          <w:tcPr>
            <w:tcW w:w="12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生态效益</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环境影响</w:t>
            </w:r>
          </w:p>
        </w:tc>
        <w:tc>
          <w:tcPr>
            <w:tcW w:w="2850"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道路洁净，出行舒适</w:t>
            </w:r>
          </w:p>
        </w:tc>
        <w:tc>
          <w:tcPr>
            <w:tcW w:w="180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道路洁净，出行舒适</w:t>
            </w:r>
          </w:p>
        </w:tc>
      </w:tr>
      <w:tr>
        <w:tblPrEx>
          <w:tblLayout w:type="fixed"/>
          <w:tblCellMar>
            <w:top w:w="0" w:type="dxa"/>
            <w:left w:w="0" w:type="dxa"/>
            <w:bottom w:w="0" w:type="dxa"/>
            <w:right w:w="0" w:type="dxa"/>
          </w:tblCellMar>
        </w:tblPrEx>
        <w:trPr>
          <w:trHeight w:val="396"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55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效益指标</w:t>
            </w:r>
          </w:p>
        </w:tc>
        <w:tc>
          <w:tcPr>
            <w:tcW w:w="12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社会效益</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通行安全</w:t>
            </w:r>
          </w:p>
        </w:tc>
        <w:tc>
          <w:tcPr>
            <w:tcW w:w="226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及时消除安全隐患</w:t>
            </w:r>
          </w:p>
        </w:tc>
        <w:tc>
          <w:tcPr>
            <w:tcW w:w="2392"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及时消除安全隐患</w:t>
            </w:r>
          </w:p>
        </w:tc>
      </w:tr>
      <w:tr>
        <w:tblPrEx>
          <w:tblLayout w:type="fixed"/>
          <w:tblCellMar>
            <w:top w:w="0" w:type="dxa"/>
            <w:left w:w="0" w:type="dxa"/>
            <w:bottom w:w="0" w:type="dxa"/>
            <w:right w:w="0" w:type="dxa"/>
          </w:tblCellMar>
        </w:tblPrEx>
        <w:trPr>
          <w:trHeight w:val="941"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55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kern w:val="0"/>
                <w:sz w:val="24"/>
              </w:rPr>
            </w:pPr>
            <w:r>
              <w:rPr>
                <w:rFonts w:hint="eastAsia" w:ascii="宋体" w:hAnsi="宋体" w:cs="宋体"/>
                <w:color w:val="auto"/>
                <w:kern w:val="0"/>
                <w:sz w:val="24"/>
              </w:rPr>
              <w:t>效益指标</w:t>
            </w:r>
          </w:p>
        </w:tc>
        <w:tc>
          <w:tcPr>
            <w:tcW w:w="12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可持续影响</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ascii="宋体" w:hAnsi="宋体" w:cs="宋体"/>
                <w:color w:val="auto"/>
                <w:sz w:val="24"/>
              </w:rPr>
              <w:t>养护延续性</w:t>
            </w:r>
          </w:p>
        </w:tc>
        <w:tc>
          <w:tcPr>
            <w:tcW w:w="226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ascii="宋体" w:hAnsi="宋体" w:cs="宋体"/>
                <w:color w:val="auto"/>
                <w:sz w:val="24"/>
              </w:rPr>
              <w:t>调动镇村管养公路的积极性，完善日常管养机制</w:t>
            </w:r>
          </w:p>
        </w:tc>
        <w:tc>
          <w:tcPr>
            <w:tcW w:w="2392"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ascii="宋体" w:hAnsi="宋体" w:cs="宋体"/>
                <w:color w:val="auto"/>
                <w:sz w:val="24"/>
              </w:rPr>
              <w:t>调动镇村管养公路的积极性，完善日常管养机制</w:t>
            </w:r>
          </w:p>
        </w:tc>
      </w:tr>
      <w:tr>
        <w:tblPrEx>
          <w:tblLayout w:type="fixed"/>
          <w:tblCellMar>
            <w:top w:w="0" w:type="dxa"/>
            <w:left w:w="0" w:type="dxa"/>
            <w:bottom w:w="0" w:type="dxa"/>
            <w:right w:w="0" w:type="dxa"/>
          </w:tblCellMar>
        </w:tblPrEx>
        <w:trPr>
          <w:trHeight w:val="565" w:hRule="atLeast"/>
          <w:jc w:val="center"/>
        </w:trPr>
        <w:tc>
          <w:tcPr>
            <w:tcW w:w="960" w:type="dxa"/>
            <w:tcBorders>
              <w:top w:val="single" w:color="000000" w:sz="4" w:space="0"/>
              <w:left w:val="single" w:color="000000" w:sz="4" w:space="0"/>
              <w:bottom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550"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满意度指标</w:t>
            </w:r>
          </w:p>
        </w:tc>
        <w:tc>
          <w:tcPr>
            <w:tcW w:w="12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满意指标</w:t>
            </w:r>
          </w:p>
        </w:tc>
        <w:tc>
          <w:tcPr>
            <w:tcW w:w="1783"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镇村干部满意度</w:t>
            </w:r>
          </w:p>
        </w:tc>
        <w:tc>
          <w:tcPr>
            <w:tcW w:w="226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&gt;90%</w:t>
            </w:r>
          </w:p>
        </w:tc>
        <w:tc>
          <w:tcPr>
            <w:tcW w:w="2392"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95%</w:t>
            </w:r>
          </w:p>
        </w:tc>
      </w:tr>
    </w:tbl>
    <w:p>
      <w:pPr>
        <w:pageBreakBefore w:val="0"/>
        <w:kinsoku/>
        <w:wordWrap/>
        <w:overflowPunct/>
        <w:topLinePunct w:val="0"/>
        <w:bidi w:val="0"/>
        <w:adjustRightInd w:val="0"/>
        <w:snapToGrid w:val="0"/>
        <w:spacing w:line="560" w:lineRule="exact"/>
        <w:rPr>
          <w:rFonts w:ascii="仿宋_GB2312" w:hAnsi="仿宋_GB2312" w:cs="仿宋_GB2312"/>
          <w:color w:val="auto"/>
          <w:szCs w:val="32"/>
        </w:rPr>
      </w:pPr>
    </w:p>
    <w:tbl>
      <w:tblPr>
        <w:tblStyle w:val="9"/>
        <w:tblpPr w:leftFromText="180" w:rightFromText="180" w:vertAnchor="text" w:horzAnchor="page" w:tblpXSpec="center" w:tblpY="423"/>
        <w:tblOverlap w:val="never"/>
        <w:tblW w:w="10229" w:type="dxa"/>
        <w:tblInd w:w="0" w:type="dxa"/>
        <w:tblLayout w:type="fixed"/>
        <w:tblCellMar>
          <w:top w:w="0" w:type="dxa"/>
          <w:left w:w="0" w:type="dxa"/>
          <w:bottom w:w="0" w:type="dxa"/>
          <w:right w:w="0" w:type="dxa"/>
        </w:tblCellMar>
      </w:tblPr>
      <w:tblGrid>
        <w:gridCol w:w="802"/>
        <w:gridCol w:w="284"/>
        <w:gridCol w:w="1601"/>
        <w:gridCol w:w="282"/>
        <w:gridCol w:w="82"/>
        <w:gridCol w:w="1070"/>
        <w:gridCol w:w="148"/>
        <w:gridCol w:w="1402"/>
        <w:gridCol w:w="615"/>
        <w:gridCol w:w="1551"/>
        <w:gridCol w:w="184"/>
        <w:gridCol w:w="281"/>
        <w:gridCol w:w="117"/>
        <w:gridCol w:w="1541"/>
        <w:gridCol w:w="269"/>
      </w:tblGrid>
      <w:tr>
        <w:tblPrEx>
          <w:tblLayout w:type="fixed"/>
          <w:tblCellMar>
            <w:top w:w="0" w:type="dxa"/>
            <w:left w:w="0" w:type="dxa"/>
            <w:bottom w:w="0" w:type="dxa"/>
            <w:right w:w="0" w:type="dxa"/>
          </w:tblCellMar>
        </w:tblPrEx>
        <w:trPr>
          <w:trHeight w:val="1034" w:hRule="atLeast"/>
        </w:trPr>
        <w:tc>
          <w:tcPr>
            <w:tcW w:w="10229" w:type="dxa"/>
            <w:gridSpan w:val="15"/>
            <w:noWrap/>
            <w:tcMar>
              <w:top w:w="15" w:type="dxa"/>
              <w:left w:w="15" w:type="dxa"/>
              <w:bottom w:w="0" w:type="dxa"/>
              <w:right w:w="15" w:type="dxa"/>
            </w:tcMar>
            <w:vAlign w:val="center"/>
          </w:tcPr>
          <w:tbl>
            <w:tblPr>
              <w:tblStyle w:val="9"/>
              <w:tblpPr w:leftFromText="180" w:rightFromText="180" w:vertAnchor="text" w:horzAnchor="page" w:tblpXSpec="center" w:tblpY="423"/>
              <w:tblOverlap w:val="never"/>
              <w:tblW w:w="9960" w:type="dxa"/>
              <w:jc w:val="center"/>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55"/>
              <w:gridCol w:w="810"/>
              <w:gridCol w:w="1417"/>
              <w:gridCol w:w="1028"/>
              <w:gridCol w:w="930"/>
              <w:gridCol w:w="434"/>
              <w:gridCol w:w="2394"/>
              <w:gridCol w:w="23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34" w:hRule="atLeast"/>
                <w:jc w:val="center"/>
              </w:trPr>
              <w:tc>
                <w:tcPr>
                  <w:tcW w:w="9960" w:type="dxa"/>
                  <w:gridSpan w:val="8"/>
                  <w:tcBorders>
                    <w:top w:val="nil"/>
                    <w:left w:val="nil"/>
                    <w:bottom w:val="nil"/>
                    <w:right w:val="nil"/>
                  </w:tcBorders>
                  <w:noWrap w:val="0"/>
                  <w:tcMar>
                    <w:top w:w="15" w:type="dxa"/>
                    <w:left w:w="15" w:type="dxa"/>
                    <w:right w:w="15" w:type="dxa"/>
                  </w:tcMar>
                  <w:vAlign w:val="center"/>
                </w:tcPr>
                <w:p>
                  <w:pPr>
                    <w:widowControl/>
                    <w:jc w:val="center"/>
                    <w:textAlignment w:val="center"/>
                    <w:rPr>
                      <w:rFonts w:ascii="宋体" w:cs="宋体"/>
                      <w:color w:val="000000"/>
                      <w:sz w:val="36"/>
                      <w:szCs w:val="36"/>
                    </w:rPr>
                  </w:pPr>
                  <w:r>
                    <w:rPr>
                      <w:rFonts w:hint="eastAsia" w:ascii="宋体" w:hAnsi="宋体" w:cs="宋体"/>
                      <w:b/>
                      <w:bCs/>
                      <w:color w:val="000000"/>
                      <w:kern w:val="0"/>
                      <w:sz w:val="36"/>
                      <w:szCs w:val="36"/>
                    </w:rPr>
                    <w:t>项目绩效目标完成情况表</w:t>
                  </w:r>
                  <w:r>
                    <w:rPr>
                      <w:rFonts w:ascii="宋体" w:cs="宋体"/>
                      <w:b/>
                      <w:bCs/>
                      <w:color w:val="000000"/>
                      <w:kern w:val="0"/>
                      <w:sz w:val="36"/>
                      <w:szCs w:val="36"/>
                    </w:rPr>
                    <w:br w:type="textWrapping"/>
                  </w:r>
                  <w:r>
                    <w:rPr>
                      <w:rFonts w:ascii="宋体" w:hAnsi="宋体" w:cs="宋体"/>
                      <w:color w:val="000000"/>
                      <w:kern w:val="0"/>
                      <w:sz w:val="36"/>
                      <w:szCs w:val="36"/>
                    </w:rPr>
                    <w:t>(2020</w:t>
                  </w:r>
                  <w:r>
                    <w:rPr>
                      <w:rFonts w:hint="eastAsia" w:ascii="宋体" w:hAnsi="宋体" w:cs="宋体"/>
                      <w:color w:val="000000"/>
                      <w:kern w:val="0"/>
                      <w:sz w:val="36"/>
                      <w:szCs w:val="36"/>
                    </w:rPr>
                    <w:t>年度</w:t>
                  </w:r>
                  <w:r>
                    <w:rPr>
                      <w:rFonts w:ascii="宋体" w:hAnsi="宋体" w:cs="宋体"/>
                      <w:color w:val="000000"/>
                      <w:kern w:val="0"/>
                      <w:sz w:val="36"/>
                      <w:szCs w:val="36"/>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项目名称</w:t>
                  </w:r>
                </w:p>
              </w:tc>
              <w:tc>
                <w:tcPr>
                  <w:tcW w:w="7178"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交通环保工作经费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预算单位</w:t>
                  </w:r>
                </w:p>
              </w:tc>
              <w:tc>
                <w:tcPr>
                  <w:tcW w:w="7178"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贡井区交通运输局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6" w:hRule="atLeast"/>
                <w:jc w:val="center"/>
              </w:trPr>
              <w:tc>
                <w:tcPr>
                  <w:tcW w:w="55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预算执行情况</w:t>
                  </w:r>
                  <w:r>
                    <w:rPr>
                      <w:rFonts w:ascii="宋体" w:hAnsi="宋体" w:cs="宋体"/>
                      <w:color w:val="000000"/>
                      <w:kern w:val="0"/>
                      <w:sz w:val="24"/>
                    </w:rPr>
                    <w:t>(</w:t>
                  </w:r>
                  <w:r>
                    <w:rPr>
                      <w:rFonts w:hint="eastAsia" w:ascii="宋体" w:hAnsi="宋体" w:cs="宋体"/>
                      <w:color w:val="000000"/>
                      <w:kern w:val="0"/>
                      <w:sz w:val="24"/>
                    </w:rPr>
                    <w:t>万元</w:t>
                  </w:r>
                  <w:r>
                    <w:rPr>
                      <w:rFonts w:ascii="宋体" w:hAnsi="宋体" w:cs="宋体"/>
                      <w:color w:val="000000"/>
                      <w:kern w:val="0"/>
                      <w:sz w:val="24"/>
                    </w:rPr>
                    <w:t>)</w:t>
                  </w:r>
                </w:p>
              </w:tc>
              <w:tc>
                <w:tcPr>
                  <w:tcW w:w="222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预算数</w:t>
                  </w:r>
                  <w:r>
                    <w:rPr>
                      <w:rFonts w:ascii="宋体" w:hAnsi="宋体" w:cs="宋体"/>
                      <w:color w:val="000000"/>
                      <w:kern w:val="0"/>
                      <w:sz w:val="24"/>
                    </w:rPr>
                    <w:t>:</w:t>
                  </w:r>
                </w:p>
              </w:tc>
              <w:tc>
                <w:tcPr>
                  <w:tcW w:w="239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8.18</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执行数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8.18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6" w:hRule="atLeast"/>
                <w:jc w:val="center"/>
              </w:trPr>
              <w:tc>
                <w:tcPr>
                  <w:tcW w:w="55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cs="宋体"/>
                      <w:color w:val="000000"/>
                      <w:sz w:val="24"/>
                    </w:rPr>
                  </w:pPr>
                </w:p>
              </w:tc>
              <w:tc>
                <w:tcPr>
                  <w:tcW w:w="222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8.18</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8.18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66" w:hRule="atLeast"/>
                <w:jc w:val="center"/>
              </w:trPr>
              <w:tc>
                <w:tcPr>
                  <w:tcW w:w="55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cs="宋体"/>
                      <w:color w:val="000000"/>
                      <w:sz w:val="24"/>
                    </w:rPr>
                  </w:pPr>
                </w:p>
              </w:tc>
              <w:tc>
                <w:tcPr>
                  <w:tcW w:w="222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cs="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6" w:hRule="atLeast"/>
                <w:jc w:val="center"/>
              </w:trPr>
              <w:tc>
                <w:tcPr>
                  <w:tcW w:w="55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年度目标完成情况</w:t>
                  </w:r>
                </w:p>
              </w:tc>
              <w:tc>
                <w:tcPr>
                  <w:tcW w:w="418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预期目标</w:t>
                  </w:r>
                </w:p>
              </w:tc>
              <w:tc>
                <w:tcPr>
                  <w:tcW w:w="522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9" w:hRule="atLeast"/>
                <w:jc w:val="center"/>
              </w:trPr>
              <w:tc>
                <w:tcPr>
                  <w:tcW w:w="55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cs="宋体"/>
                      <w:color w:val="000000"/>
                      <w:sz w:val="24"/>
                    </w:rPr>
                  </w:pPr>
                </w:p>
              </w:tc>
              <w:tc>
                <w:tcPr>
                  <w:tcW w:w="418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依据机动车维修管理规定、大气污染防治法及固废法等相关规定，强化全区机动车维修备案管理，加大危险废物处置管理力度，推进喷烤漆房达标升级改造、错峰出行，减少排放污染，加大作业现场管控，规范企业经营行为。依据环保法、公路法对辖区管养路段开展清扫保洁并对交通在建工地开展督查检查，以提升我区大气优良指数。</w:t>
                  </w:r>
                </w:p>
              </w:tc>
              <w:tc>
                <w:tcPr>
                  <w:tcW w:w="522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结合机构改革，加强人员配置，全区机动车全部实现备案，汽修行业喷烤漆房达标率</w:t>
                  </w:r>
                  <w:r>
                    <w:rPr>
                      <w:rFonts w:hint="eastAsia" w:ascii="宋体" w:cs="宋体"/>
                      <w:color w:val="000000"/>
                      <w:sz w:val="24"/>
                      <w:lang w:val="en-US" w:eastAsia="zh-CN"/>
                    </w:rPr>
                    <w:t>90%，严格执行错峰出行，每周督查2次以上，作业现场管控力度加强。道路日常保洁全覆盖，对在建工地严格要求，甲方现场人员每天到场监督检查，有效提升了我区大气优良指数。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42" w:hRule="atLeast"/>
                <w:jc w:val="center"/>
              </w:trPr>
              <w:tc>
                <w:tcPr>
                  <w:tcW w:w="555"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一级指标</w:t>
                  </w:r>
                </w:p>
              </w:tc>
              <w:tc>
                <w:tcPr>
                  <w:tcW w:w="14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二级指标</w:t>
                  </w:r>
                </w:p>
              </w:tc>
              <w:tc>
                <w:tcPr>
                  <w:tcW w:w="10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三级指标</w:t>
                  </w:r>
                </w:p>
              </w:tc>
              <w:tc>
                <w:tcPr>
                  <w:tcW w:w="375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53" w:hRule="atLeast"/>
                <w:jc w:val="center"/>
              </w:trPr>
              <w:tc>
                <w:tcPr>
                  <w:tcW w:w="555"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4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数量指标</w:t>
                  </w:r>
                </w:p>
              </w:tc>
              <w:tc>
                <w:tcPr>
                  <w:tcW w:w="10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汽修环保</w:t>
                  </w:r>
                </w:p>
              </w:tc>
              <w:tc>
                <w:tcPr>
                  <w:tcW w:w="375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将全区</w:t>
                  </w:r>
                  <w:r>
                    <w:rPr>
                      <w:rFonts w:hint="eastAsia" w:ascii="宋体" w:cs="宋体"/>
                      <w:color w:val="000000"/>
                      <w:sz w:val="24"/>
                      <w:lang w:val="en-US" w:eastAsia="zh-CN"/>
                    </w:rPr>
                    <w:t>180家汽修业户纳入管理，严格执行</w:t>
                  </w:r>
                  <w:r>
                    <w:rPr>
                      <w:rFonts w:hint="eastAsia" w:ascii="宋体" w:cs="宋体"/>
                      <w:color w:val="000000"/>
                      <w:sz w:val="24"/>
                      <w:lang w:eastAsia="zh-CN"/>
                    </w:rPr>
                    <w:t>推进喷烤漆房改造规定，实行错峰单双号运行，推广使用</w:t>
                  </w:r>
                  <w:r>
                    <w:rPr>
                      <w:rFonts w:hint="eastAsia" w:ascii="宋体" w:cs="宋体"/>
                      <w:color w:val="000000"/>
                      <w:sz w:val="24"/>
                      <w:lang w:val="en-US" w:eastAsia="zh-CN"/>
                    </w:rPr>
                    <w:t>VOS水性漆。坚持黄色橙色红色预警区间的巡查，查处汽修行业违规违法行为，提高维修质量和服务水平，确保车辆运行安全。</w:t>
                  </w:r>
                  <w:r>
                    <w:rPr>
                      <w:rFonts w:hint="eastAsia" w:ascii="宋体" w:cs="宋体"/>
                      <w:color w:val="000000"/>
                      <w:sz w:val="24"/>
                      <w:lang w:eastAsia="zh-CN"/>
                    </w:rPr>
                    <w:t>对辖区管养路段开展清扫保洁并对交通在建工地开展督查检查，提升我区大气优良指数</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auto"/>
                      <w:sz w:val="24"/>
                      <w:lang w:val="en-US" w:eastAsia="zh-CN"/>
                    </w:rPr>
                    <w:t>80%</w:t>
                  </w:r>
                  <w:r>
                    <w:rPr>
                      <w:rFonts w:hint="eastAsia" w:ascii="宋体" w:cs="宋体"/>
                      <w:color w:val="000000"/>
                      <w:sz w:val="24"/>
                      <w:lang w:val="en-US" w:eastAsia="zh-CN"/>
                    </w:rPr>
                    <w:t>汽修业户进行了喷漆烤房的改造，加强水性漆的宣传。查处汽修行业违规违法行为  起。开展交通在建工程环保督查70余次。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97" w:hRule="atLeast"/>
                <w:jc w:val="center"/>
              </w:trPr>
              <w:tc>
                <w:tcPr>
                  <w:tcW w:w="555"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4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数量指标</w:t>
                  </w:r>
                </w:p>
              </w:tc>
              <w:tc>
                <w:tcPr>
                  <w:tcW w:w="10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道路扬尘</w:t>
                  </w:r>
                </w:p>
              </w:tc>
              <w:tc>
                <w:tcPr>
                  <w:tcW w:w="375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每周</w:t>
                  </w:r>
                  <w:r>
                    <w:rPr>
                      <w:rFonts w:hint="eastAsia" w:ascii="宋体" w:cs="宋体"/>
                      <w:color w:val="000000"/>
                      <w:sz w:val="24"/>
                      <w:lang w:val="en-US" w:eastAsia="zh-CN"/>
                    </w:rPr>
                    <w:t>1</w:t>
                  </w:r>
                  <w:r>
                    <w:rPr>
                      <w:rFonts w:hint="eastAsia" w:ascii="宋体" w:cs="宋体"/>
                      <w:color w:val="000000"/>
                      <w:sz w:val="24"/>
                      <w:lang w:eastAsia="zh-CN"/>
                    </w:rPr>
                    <w:t>次边沟清理、</w:t>
                  </w:r>
                  <w:r>
                    <w:rPr>
                      <w:rFonts w:hint="eastAsia" w:ascii="宋体" w:cs="宋体"/>
                      <w:color w:val="000000"/>
                      <w:sz w:val="24"/>
                      <w:lang w:val="en-US" w:eastAsia="zh-CN"/>
                    </w:rPr>
                    <w:t>2次路面保洁</w:t>
                  </w:r>
                  <w:r>
                    <w:rPr>
                      <w:rFonts w:hint="eastAsia" w:ascii="宋体" w:cs="宋体"/>
                      <w:color w:val="000000"/>
                      <w:sz w:val="24"/>
                      <w:lang w:eastAsia="zh-CN"/>
                    </w:rPr>
                    <w:t>，对辖区县道</w:t>
                  </w:r>
                  <w:r>
                    <w:rPr>
                      <w:rFonts w:hint="eastAsia" w:ascii="宋体" w:cs="宋体"/>
                      <w:color w:val="000000"/>
                      <w:sz w:val="24"/>
                      <w:lang w:val="en-US" w:eastAsia="zh-CN"/>
                    </w:rPr>
                    <w:t>113.221公里</w:t>
                  </w:r>
                  <w:r>
                    <w:rPr>
                      <w:rFonts w:hint="eastAsia" w:ascii="宋体" w:cs="宋体"/>
                      <w:color w:val="000000"/>
                      <w:sz w:val="24"/>
                      <w:lang w:eastAsia="zh-CN"/>
                    </w:rPr>
                    <w:t>开展日常清扫保洁，处理危树死树并修剪行道树</w:t>
                  </w:r>
                  <w:r>
                    <w:rPr>
                      <w:rFonts w:hint="eastAsia" w:ascii="宋体" w:cs="宋体"/>
                      <w:color w:val="000000"/>
                      <w:sz w:val="24"/>
                      <w:lang w:val="en-US" w:eastAsia="zh-CN"/>
                    </w:rPr>
                    <w:t>50根</w:t>
                  </w:r>
                  <w:r>
                    <w:rPr>
                      <w:rFonts w:hint="eastAsia" w:ascii="宋体" w:cs="宋体"/>
                      <w:color w:val="000000"/>
                      <w:sz w:val="24"/>
                      <w:lang w:eastAsia="zh-CN"/>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eastAsia="zh-CN"/>
                    </w:rPr>
                    <w:t>每周</w:t>
                  </w:r>
                  <w:r>
                    <w:rPr>
                      <w:rFonts w:hint="eastAsia" w:ascii="宋体" w:cs="宋体"/>
                      <w:color w:val="000000"/>
                      <w:sz w:val="24"/>
                      <w:lang w:val="en-US" w:eastAsia="zh-CN"/>
                    </w:rPr>
                    <w:t>1</w:t>
                  </w:r>
                  <w:r>
                    <w:rPr>
                      <w:rFonts w:hint="eastAsia" w:ascii="宋体" w:cs="宋体"/>
                      <w:color w:val="000000"/>
                      <w:sz w:val="24"/>
                      <w:lang w:eastAsia="zh-CN"/>
                    </w:rPr>
                    <w:t>次边沟清理、</w:t>
                  </w:r>
                  <w:r>
                    <w:rPr>
                      <w:rFonts w:hint="eastAsia" w:ascii="宋体" w:cs="宋体"/>
                      <w:color w:val="000000"/>
                      <w:sz w:val="24"/>
                      <w:lang w:val="en-US" w:eastAsia="zh-CN"/>
                    </w:rPr>
                    <w:t>2次路面保洁</w:t>
                  </w:r>
                  <w:r>
                    <w:rPr>
                      <w:rFonts w:hint="eastAsia" w:ascii="宋体" w:cs="宋体"/>
                      <w:color w:val="000000"/>
                      <w:sz w:val="24"/>
                      <w:lang w:eastAsia="zh-CN"/>
                    </w:rPr>
                    <w:t>，坚持了辖区县道</w:t>
                  </w:r>
                  <w:r>
                    <w:rPr>
                      <w:rFonts w:hint="eastAsia" w:ascii="宋体" w:cs="宋体"/>
                      <w:color w:val="000000"/>
                      <w:sz w:val="24"/>
                      <w:lang w:val="en-US" w:eastAsia="zh-CN"/>
                    </w:rPr>
                    <w:t>113.221公里的</w:t>
                  </w:r>
                  <w:r>
                    <w:rPr>
                      <w:rFonts w:hint="eastAsia" w:ascii="宋体" w:cs="宋体"/>
                      <w:color w:val="000000"/>
                      <w:sz w:val="24"/>
                      <w:lang w:eastAsia="zh-CN"/>
                    </w:rPr>
                    <w:t>日常清扫保洁，处理危树死树及修剪行道树</w:t>
                  </w:r>
                  <w:r>
                    <w:rPr>
                      <w:rFonts w:hint="eastAsia" w:ascii="宋体" w:cs="宋体"/>
                      <w:color w:val="000000"/>
                      <w:sz w:val="24"/>
                      <w:lang w:val="en-US" w:eastAsia="zh-CN"/>
                    </w:rPr>
                    <w:t>60根</w:t>
                  </w:r>
                  <w:r>
                    <w:rPr>
                      <w:rFonts w:hint="eastAsia" w:ascii="宋体" w:cs="宋体"/>
                      <w:color w:val="000000"/>
                      <w:sz w:val="24"/>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42" w:hRule="atLeast"/>
                <w:jc w:val="center"/>
              </w:trPr>
              <w:tc>
                <w:tcPr>
                  <w:tcW w:w="555"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4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数量指标</w:t>
                  </w:r>
                </w:p>
              </w:tc>
              <w:tc>
                <w:tcPr>
                  <w:tcW w:w="10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工地除尘</w:t>
                  </w:r>
                </w:p>
              </w:tc>
              <w:tc>
                <w:tcPr>
                  <w:tcW w:w="375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对我区交通在建工地严格执行六个</w:t>
                  </w:r>
                  <w:r>
                    <w:rPr>
                      <w:rFonts w:hint="eastAsia" w:ascii="宋体" w:cs="宋体"/>
                      <w:color w:val="000000"/>
                      <w:sz w:val="24"/>
                      <w:lang w:val="en-US" w:eastAsia="zh-CN"/>
                    </w:rPr>
                    <w:t>100%，</w:t>
                  </w:r>
                  <w:r>
                    <w:rPr>
                      <w:rFonts w:hint="eastAsia" w:ascii="宋体" w:cs="宋体"/>
                      <w:color w:val="000000"/>
                      <w:sz w:val="24"/>
                      <w:lang w:eastAsia="zh-CN"/>
                    </w:rPr>
                    <w:t>保证每周</w:t>
                  </w:r>
                  <w:r>
                    <w:rPr>
                      <w:rFonts w:hint="eastAsia" w:ascii="宋体" w:cs="宋体"/>
                      <w:color w:val="000000"/>
                      <w:sz w:val="24"/>
                      <w:lang w:val="en-US" w:eastAsia="zh-CN"/>
                    </w:rPr>
                    <w:t>1</w:t>
                  </w:r>
                  <w:r>
                    <w:rPr>
                      <w:rFonts w:hint="eastAsia" w:ascii="宋体" w:cs="宋体"/>
                      <w:color w:val="000000"/>
                      <w:sz w:val="24"/>
                      <w:lang w:eastAsia="zh-CN"/>
                    </w:rPr>
                    <w:t>次工地环保检查，开展环保培训</w:t>
                  </w:r>
                  <w:r>
                    <w:rPr>
                      <w:rFonts w:hint="eastAsia" w:ascii="宋体" w:cs="宋体"/>
                      <w:color w:val="000000"/>
                      <w:sz w:val="24"/>
                      <w:lang w:val="en-US" w:eastAsia="zh-CN"/>
                    </w:rPr>
                    <w:t>1次</w:t>
                  </w:r>
                  <w:r>
                    <w:rPr>
                      <w:rFonts w:hint="eastAsia" w:ascii="宋体" w:cs="宋体"/>
                      <w:color w:val="000000"/>
                      <w:sz w:val="24"/>
                      <w:lang w:eastAsia="zh-CN"/>
                    </w:rPr>
                    <w:t>。</w:t>
                  </w:r>
                  <w:r>
                    <w:rPr>
                      <w:rFonts w:hint="eastAsia" w:ascii="宋体" w:cs="宋体"/>
                      <w:color w:val="000000"/>
                      <w:sz w:val="24"/>
                      <w:lang w:val="en-US" w:eastAsia="zh-CN"/>
                    </w:rPr>
                    <w:t>开展日常检查，督促施工企业增加除尘设施设备，确保达到扬尘治理要求。</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开展了每周</w:t>
                  </w:r>
                  <w:r>
                    <w:rPr>
                      <w:rFonts w:hint="eastAsia" w:ascii="宋体" w:cs="宋体"/>
                      <w:color w:val="000000"/>
                      <w:sz w:val="24"/>
                      <w:lang w:val="en-US" w:eastAsia="zh-CN"/>
                    </w:rPr>
                    <w:t>1</w:t>
                  </w:r>
                  <w:r>
                    <w:rPr>
                      <w:rFonts w:hint="eastAsia" w:ascii="宋体" w:cs="宋体"/>
                      <w:color w:val="000000"/>
                      <w:sz w:val="24"/>
                      <w:lang w:eastAsia="zh-CN"/>
                    </w:rPr>
                    <w:t>次环保专项督查，督促施工企业增加除尘设施设备</w:t>
                  </w:r>
                  <w:r>
                    <w:rPr>
                      <w:rFonts w:hint="eastAsia" w:ascii="宋体" w:cs="宋体"/>
                      <w:color w:val="000000"/>
                      <w:sz w:val="24"/>
                      <w:lang w:val="en-US" w:eastAsia="zh-CN"/>
                    </w:rPr>
                    <w:t>20台次.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7" w:hRule="atLeast"/>
                <w:jc w:val="center"/>
              </w:trPr>
              <w:tc>
                <w:tcPr>
                  <w:tcW w:w="555"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kern w:val="0"/>
                      <w:sz w:val="24"/>
                    </w:rPr>
                  </w:pPr>
                  <w:r>
                    <w:rPr>
                      <w:rFonts w:hint="eastAsia" w:ascii="宋体" w:hAnsi="宋体" w:cs="宋体"/>
                      <w:color w:val="000000"/>
                      <w:kern w:val="0"/>
                      <w:sz w:val="24"/>
                    </w:rPr>
                    <w:t>项目完成指标</w:t>
                  </w:r>
                </w:p>
              </w:tc>
              <w:tc>
                <w:tcPr>
                  <w:tcW w:w="14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质量指标</w:t>
                  </w:r>
                </w:p>
              </w:tc>
              <w:tc>
                <w:tcPr>
                  <w:tcW w:w="10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道路扬尘</w:t>
                  </w:r>
                </w:p>
              </w:tc>
              <w:tc>
                <w:tcPr>
                  <w:tcW w:w="375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保持</w:t>
                  </w:r>
                  <w:r>
                    <w:rPr>
                      <w:rFonts w:hint="eastAsia" w:ascii="宋体" w:cs="宋体"/>
                      <w:color w:val="000000"/>
                      <w:sz w:val="24"/>
                      <w:lang w:val="en-US" w:eastAsia="zh-CN"/>
                    </w:rPr>
                    <w:t>路面整洁、边沟通畅，保持行道树美观</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通过日常保洁、处理行道树，达到预期目标。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42" w:hRule="atLeast"/>
                <w:jc w:val="center"/>
              </w:trPr>
              <w:tc>
                <w:tcPr>
                  <w:tcW w:w="555"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4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质量指标</w:t>
                  </w:r>
                </w:p>
              </w:tc>
              <w:tc>
                <w:tcPr>
                  <w:tcW w:w="10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在建工地</w:t>
                  </w:r>
                </w:p>
              </w:tc>
              <w:tc>
                <w:tcPr>
                  <w:tcW w:w="375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交通在建工地严格执行六个</w:t>
                  </w:r>
                  <w:r>
                    <w:rPr>
                      <w:rFonts w:hint="eastAsia" w:ascii="宋体" w:cs="宋体"/>
                      <w:color w:val="000000"/>
                      <w:sz w:val="24"/>
                      <w:lang w:val="en-US" w:eastAsia="zh-CN"/>
                    </w:rPr>
                    <w:t>100%，开展日常检查，督促施工企业增加除尘设施设备，确保达到扬尘治理要求。</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eastAsia="zh-CN"/>
                    </w:rPr>
                    <w:t>对我区交通在建工地严格执行六个</w:t>
                  </w:r>
                  <w:r>
                    <w:rPr>
                      <w:rFonts w:hint="eastAsia" w:ascii="宋体" w:cs="宋体"/>
                      <w:color w:val="000000"/>
                      <w:sz w:val="24"/>
                      <w:lang w:val="en-US" w:eastAsia="zh-CN"/>
                    </w:rPr>
                    <w:t>100%，通过督查整改，达到了扬尘治理要求。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42" w:hRule="atLeast"/>
                <w:jc w:val="center"/>
              </w:trPr>
              <w:tc>
                <w:tcPr>
                  <w:tcW w:w="555"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w:t>
                  </w:r>
                </w:p>
              </w:tc>
              <w:tc>
                <w:tcPr>
                  <w:tcW w:w="14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质量指标</w:t>
                  </w:r>
                </w:p>
              </w:tc>
              <w:tc>
                <w:tcPr>
                  <w:tcW w:w="10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整治行动目标</w:t>
                  </w:r>
                </w:p>
              </w:tc>
              <w:tc>
                <w:tcPr>
                  <w:tcW w:w="375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坚持每周不少于</w:t>
                  </w:r>
                  <w:r>
                    <w:rPr>
                      <w:rFonts w:hint="eastAsia" w:ascii="宋体" w:cs="宋体"/>
                      <w:color w:val="000000"/>
                      <w:sz w:val="24"/>
                      <w:lang w:val="en-US" w:eastAsia="zh-CN"/>
                    </w:rPr>
                    <w:t>2次对辖区汽修业户整治指导监督行动，坚持每天巡查，开展每年2次环保培训</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eastAsia="zh-CN"/>
                    </w:rPr>
                    <w:t>做到了每周</w:t>
                  </w:r>
                  <w:r>
                    <w:rPr>
                      <w:rFonts w:hint="eastAsia" w:ascii="宋体" w:cs="宋体"/>
                      <w:color w:val="000000"/>
                      <w:sz w:val="24"/>
                      <w:lang w:val="en-US" w:eastAsia="zh-CN"/>
                    </w:rPr>
                    <w:t>2次对辖区汽修业户督导行动，坚持每天巡查，进行了2次环保培训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42" w:hRule="atLeast"/>
                <w:jc w:val="center"/>
              </w:trPr>
              <w:tc>
                <w:tcPr>
                  <w:tcW w:w="555"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效益指标</w:t>
                  </w:r>
                </w:p>
              </w:tc>
              <w:tc>
                <w:tcPr>
                  <w:tcW w:w="14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社会效益</w:t>
                  </w:r>
                </w:p>
              </w:tc>
              <w:tc>
                <w:tcPr>
                  <w:tcW w:w="10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促进作用</w:t>
                  </w:r>
                </w:p>
              </w:tc>
              <w:tc>
                <w:tcPr>
                  <w:tcW w:w="375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促进辖区汽修市场健康有序，辖区管养道路整洁通畅</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做到了辖区汽修市场有序发展、管养道路整洁通畅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17" w:hRule="atLeast"/>
                <w:jc w:val="center"/>
              </w:trPr>
              <w:tc>
                <w:tcPr>
                  <w:tcW w:w="555"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效益指标</w:t>
                  </w:r>
                </w:p>
              </w:tc>
              <w:tc>
                <w:tcPr>
                  <w:tcW w:w="14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生态效益</w:t>
                  </w:r>
                </w:p>
              </w:tc>
              <w:tc>
                <w:tcPr>
                  <w:tcW w:w="10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使用年限</w:t>
                  </w:r>
                </w:p>
              </w:tc>
              <w:tc>
                <w:tcPr>
                  <w:tcW w:w="375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2020年1-12月</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2020年1-12月，延及今后几年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jc w:val="center"/>
              </w:trPr>
              <w:tc>
                <w:tcPr>
                  <w:tcW w:w="555"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kern w:val="0"/>
                      <w:sz w:val="24"/>
                    </w:rPr>
                  </w:pPr>
                  <w:r>
                    <w:rPr>
                      <w:rFonts w:hint="eastAsia" w:ascii="宋体" w:hAnsi="宋体" w:cs="宋体"/>
                      <w:color w:val="000000"/>
                      <w:kern w:val="0"/>
                      <w:sz w:val="24"/>
                    </w:rPr>
                    <w:t>……</w:t>
                  </w:r>
                </w:p>
              </w:tc>
              <w:tc>
                <w:tcPr>
                  <w:tcW w:w="14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0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375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5" w:hRule="atLeast"/>
                <w:jc w:val="center"/>
              </w:trPr>
              <w:tc>
                <w:tcPr>
                  <w:tcW w:w="555"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满意度指标</w:t>
                  </w:r>
                </w:p>
              </w:tc>
              <w:tc>
                <w:tcPr>
                  <w:tcW w:w="14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0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公众满意度</w:t>
                  </w:r>
                </w:p>
              </w:tc>
              <w:tc>
                <w:tcPr>
                  <w:tcW w:w="375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公众满意度达</w:t>
                  </w:r>
                  <w:r>
                    <w:rPr>
                      <w:rFonts w:hint="eastAsia" w:ascii="宋体" w:cs="宋体"/>
                      <w:color w:val="000000"/>
                      <w:sz w:val="24"/>
                      <w:lang w:val="en-US" w:eastAsia="zh-CN"/>
                    </w:rPr>
                    <w:t>90%以上</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eastAsia="zh-CN"/>
                    </w:rPr>
                    <w:t>公众满意度达</w:t>
                  </w:r>
                  <w:r>
                    <w:rPr>
                      <w:rFonts w:hint="eastAsia" w:ascii="宋体" w:cs="宋体"/>
                      <w:color w:val="000000"/>
                      <w:sz w:val="24"/>
                      <w:lang w:val="en-US" w:eastAsia="zh-CN"/>
                    </w:rPr>
                    <w:t>95%</w:t>
                  </w:r>
                </w:p>
              </w:tc>
            </w:tr>
          </w:tbl>
          <w:p>
            <w:pPr>
              <w:pStyle w:val="15"/>
              <w:pageBreakBefore w:val="0"/>
              <w:widowControl/>
              <w:kinsoku/>
              <w:wordWrap/>
              <w:overflowPunct/>
              <w:topLinePunct w:val="0"/>
              <w:bidi w:val="0"/>
              <w:adjustRightInd w:val="0"/>
              <w:snapToGrid w:val="0"/>
              <w:spacing w:line="560" w:lineRule="exact"/>
              <w:ind w:firstLine="0" w:firstLineChars="0"/>
              <w:textAlignment w:val="center"/>
              <w:rPr>
                <w:rFonts w:ascii="黑体" w:hAnsi="黑体" w:eastAsia="黑体" w:cs="宋体"/>
                <w:bCs/>
                <w:color w:val="auto"/>
                <w:kern w:val="0"/>
                <w:sz w:val="36"/>
                <w:szCs w:val="36"/>
              </w:rPr>
            </w:pPr>
          </w:p>
          <w:p>
            <w:pPr>
              <w:pStyle w:val="15"/>
              <w:pageBreakBefore w:val="0"/>
              <w:widowControl/>
              <w:kinsoku/>
              <w:wordWrap/>
              <w:overflowPunct/>
              <w:topLinePunct w:val="0"/>
              <w:bidi w:val="0"/>
              <w:adjustRightInd w:val="0"/>
              <w:snapToGrid w:val="0"/>
              <w:spacing w:line="560" w:lineRule="exact"/>
              <w:ind w:firstLine="0" w:firstLineChars="0"/>
              <w:jc w:val="center"/>
              <w:textAlignment w:val="center"/>
              <w:rPr>
                <w:rFonts w:ascii="宋体" w:hAnsi="宋体" w:cs="宋体"/>
                <w:color w:val="auto"/>
                <w:sz w:val="36"/>
                <w:szCs w:val="36"/>
              </w:rPr>
            </w:pPr>
            <w:r>
              <w:rPr>
                <w:rFonts w:hint="eastAsia" w:ascii="黑体" w:hAnsi="黑体" w:eastAsia="黑体" w:cs="宋体"/>
                <w:bCs/>
                <w:color w:val="auto"/>
                <w:kern w:val="0"/>
                <w:sz w:val="36"/>
                <w:szCs w:val="36"/>
              </w:rPr>
              <w:t>项目支出绩效目标完成情况表</w:t>
            </w:r>
            <w:r>
              <w:rPr>
                <w:rFonts w:hint="eastAsia" w:ascii="宋体" w:hAnsi="宋体" w:cs="宋体"/>
                <w:b/>
                <w:bCs/>
                <w:color w:val="auto"/>
                <w:kern w:val="0"/>
                <w:sz w:val="36"/>
                <w:szCs w:val="36"/>
              </w:rPr>
              <w:br w:type="textWrapping"/>
            </w:r>
            <w:r>
              <w:rPr>
                <w:rFonts w:hint="eastAsia" w:ascii="宋体" w:hAnsi="宋体" w:cs="宋体"/>
                <w:color w:val="auto"/>
                <w:kern w:val="0"/>
                <w:sz w:val="36"/>
                <w:szCs w:val="36"/>
              </w:rPr>
              <w:t>(2020年度)</w:t>
            </w:r>
          </w:p>
        </w:tc>
      </w:tr>
      <w:tr>
        <w:tblPrEx>
          <w:tblLayout w:type="fixed"/>
          <w:tblCellMar>
            <w:top w:w="0" w:type="dxa"/>
            <w:left w:w="0" w:type="dxa"/>
            <w:bottom w:w="0" w:type="dxa"/>
            <w:right w:w="0" w:type="dxa"/>
          </w:tblCellMar>
        </w:tblPrEx>
        <w:trPr>
          <w:trHeight w:val="276" w:hRule="atLeast"/>
        </w:trPr>
        <w:tc>
          <w:tcPr>
            <w:tcW w:w="3051" w:type="dxa"/>
            <w:gridSpan w:val="5"/>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项目名称</w:t>
            </w:r>
          </w:p>
        </w:tc>
        <w:tc>
          <w:tcPr>
            <w:tcW w:w="7178" w:type="dxa"/>
            <w:gridSpan w:val="10"/>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lang w:eastAsia="zh-CN"/>
              </w:rPr>
              <w:t>乡</w:t>
            </w:r>
            <w:r>
              <w:rPr>
                <w:rFonts w:hint="eastAsia" w:ascii="宋体" w:hAnsi="宋体" w:cs="宋体"/>
                <w:color w:val="auto"/>
                <w:sz w:val="24"/>
              </w:rPr>
              <w:t>道日常养护项目</w:t>
            </w:r>
          </w:p>
        </w:tc>
      </w:tr>
      <w:tr>
        <w:tblPrEx>
          <w:tblLayout w:type="fixed"/>
          <w:tblCellMar>
            <w:top w:w="0" w:type="dxa"/>
            <w:left w:w="0" w:type="dxa"/>
            <w:bottom w:w="0" w:type="dxa"/>
            <w:right w:w="0" w:type="dxa"/>
          </w:tblCellMar>
        </w:tblPrEx>
        <w:trPr>
          <w:trHeight w:val="276" w:hRule="atLeast"/>
        </w:trPr>
        <w:tc>
          <w:tcPr>
            <w:tcW w:w="3051" w:type="dxa"/>
            <w:gridSpan w:val="5"/>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预算单位</w:t>
            </w:r>
          </w:p>
        </w:tc>
        <w:tc>
          <w:tcPr>
            <w:tcW w:w="7178" w:type="dxa"/>
            <w:gridSpan w:val="10"/>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自贡市贡井区交通运输局</w:t>
            </w:r>
          </w:p>
        </w:tc>
      </w:tr>
      <w:tr>
        <w:tblPrEx>
          <w:tblLayout w:type="fixed"/>
          <w:tblCellMar>
            <w:top w:w="0" w:type="dxa"/>
            <w:left w:w="0" w:type="dxa"/>
            <w:bottom w:w="0" w:type="dxa"/>
            <w:right w:w="0" w:type="dxa"/>
          </w:tblCellMar>
        </w:tblPrEx>
        <w:trPr>
          <w:trHeight w:val="276" w:hRule="atLeast"/>
        </w:trPr>
        <w:tc>
          <w:tcPr>
            <w:tcW w:w="802" w:type="dxa"/>
            <w:vMerge w:val="restart"/>
            <w:tcBorders>
              <w:top w:val="single" w:color="000000" w:sz="4" w:space="0"/>
              <w:left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预算执行情况(万元)</w:t>
            </w:r>
          </w:p>
        </w:tc>
        <w:tc>
          <w:tcPr>
            <w:tcW w:w="2249"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预算数:</w:t>
            </w:r>
          </w:p>
        </w:tc>
        <w:tc>
          <w:tcPr>
            <w:tcW w:w="262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30.8</w:t>
            </w:r>
          </w:p>
        </w:tc>
        <w:tc>
          <w:tcPr>
            <w:tcW w:w="2166"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执行数:</w:t>
            </w:r>
          </w:p>
        </w:tc>
        <w:tc>
          <w:tcPr>
            <w:tcW w:w="2392" w:type="dxa"/>
            <w:gridSpan w:val="5"/>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30.8</w:t>
            </w:r>
          </w:p>
        </w:tc>
      </w:tr>
      <w:tr>
        <w:tblPrEx>
          <w:tblLayout w:type="fixed"/>
          <w:tblCellMar>
            <w:top w:w="0" w:type="dxa"/>
            <w:left w:w="0" w:type="dxa"/>
            <w:bottom w:w="0" w:type="dxa"/>
            <w:right w:w="0" w:type="dxa"/>
          </w:tblCellMar>
        </w:tblPrEx>
        <w:trPr>
          <w:trHeight w:val="276" w:hRule="atLeast"/>
        </w:trPr>
        <w:tc>
          <w:tcPr>
            <w:tcW w:w="802" w:type="dxa"/>
            <w:vMerge w:val="continue"/>
            <w:tcBorders>
              <w:left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2249"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其中-财政拨款:</w:t>
            </w:r>
          </w:p>
        </w:tc>
        <w:tc>
          <w:tcPr>
            <w:tcW w:w="262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hint="default" w:ascii="宋体" w:hAnsi="宋体" w:eastAsia="仿宋_GB2312" w:cs="宋体"/>
                <w:color w:val="auto"/>
                <w:sz w:val="24"/>
                <w:lang w:val="en-US" w:eastAsia="zh-CN"/>
              </w:rPr>
            </w:pPr>
            <w:r>
              <w:rPr>
                <w:rFonts w:hint="eastAsia" w:ascii="宋体" w:hAnsi="宋体" w:cs="宋体"/>
                <w:color w:val="auto"/>
                <w:sz w:val="24"/>
                <w:lang w:val="en-US" w:eastAsia="zh-CN"/>
              </w:rPr>
              <w:t>30.8</w:t>
            </w:r>
          </w:p>
        </w:tc>
        <w:tc>
          <w:tcPr>
            <w:tcW w:w="2166"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其中-财政拨款:</w:t>
            </w:r>
          </w:p>
        </w:tc>
        <w:tc>
          <w:tcPr>
            <w:tcW w:w="2392" w:type="dxa"/>
            <w:gridSpan w:val="5"/>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30.8</w:t>
            </w:r>
          </w:p>
        </w:tc>
      </w:tr>
      <w:tr>
        <w:tblPrEx>
          <w:tblLayout w:type="fixed"/>
          <w:tblCellMar>
            <w:top w:w="0" w:type="dxa"/>
            <w:left w:w="0" w:type="dxa"/>
            <w:bottom w:w="0" w:type="dxa"/>
            <w:right w:w="0" w:type="dxa"/>
          </w:tblCellMar>
        </w:tblPrEx>
        <w:trPr>
          <w:trHeight w:val="555" w:hRule="atLeast"/>
        </w:trPr>
        <w:tc>
          <w:tcPr>
            <w:tcW w:w="802" w:type="dxa"/>
            <w:vMerge w:val="continue"/>
            <w:tcBorders>
              <w:left w:val="single" w:color="000000" w:sz="4" w:space="0"/>
              <w:bottom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2249"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其它资金:</w:t>
            </w:r>
          </w:p>
        </w:tc>
        <w:tc>
          <w:tcPr>
            <w:tcW w:w="262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0</w:t>
            </w:r>
          </w:p>
        </w:tc>
        <w:tc>
          <w:tcPr>
            <w:tcW w:w="2166"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其它资金:</w:t>
            </w:r>
          </w:p>
        </w:tc>
        <w:tc>
          <w:tcPr>
            <w:tcW w:w="2392" w:type="dxa"/>
            <w:gridSpan w:val="5"/>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rPr>
                <w:rFonts w:ascii="宋体" w:hAnsi="宋体" w:cs="宋体"/>
                <w:color w:val="auto"/>
                <w:sz w:val="24"/>
              </w:rPr>
            </w:pPr>
          </w:p>
        </w:tc>
      </w:tr>
      <w:tr>
        <w:tblPrEx>
          <w:tblLayout w:type="fixed"/>
          <w:tblCellMar>
            <w:top w:w="0" w:type="dxa"/>
            <w:left w:w="0" w:type="dxa"/>
            <w:bottom w:w="0" w:type="dxa"/>
            <w:right w:w="0" w:type="dxa"/>
          </w:tblCellMar>
        </w:tblPrEx>
        <w:trPr>
          <w:trHeight w:val="276" w:hRule="atLeast"/>
        </w:trPr>
        <w:tc>
          <w:tcPr>
            <w:tcW w:w="802" w:type="dxa"/>
            <w:vMerge w:val="restart"/>
            <w:tcBorders>
              <w:top w:val="single" w:color="000000" w:sz="4" w:space="0"/>
              <w:left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年度目标完成情况</w:t>
            </w:r>
          </w:p>
        </w:tc>
        <w:tc>
          <w:tcPr>
            <w:tcW w:w="4869" w:type="dxa"/>
            <w:gridSpan w:val="7"/>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预期目标</w:t>
            </w:r>
          </w:p>
        </w:tc>
        <w:tc>
          <w:tcPr>
            <w:tcW w:w="4558" w:type="dxa"/>
            <w:gridSpan w:val="7"/>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实际完成目标</w:t>
            </w:r>
          </w:p>
        </w:tc>
      </w:tr>
      <w:tr>
        <w:tblPrEx>
          <w:tblLayout w:type="fixed"/>
          <w:tblCellMar>
            <w:top w:w="0" w:type="dxa"/>
            <w:left w:w="0" w:type="dxa"/>
            <w:bottom w:w="0" w:type="dxa"/>
            <w:right w:w="0" w:type="dxa"/>
          </w:tblCellMar>
        </w:tblPrEx>
        <w:trPr>
          <w:trHeight w:val="1159" w:hRule="atLeast"/>
        </w:trPr>
        <w:tc>
          <w:tcPr>
            <w:tcW w:w="802" w:type="dxa"/>
            <w:vMerge w:val="continue"/>
            <w:tcBorders>
              <w:left w:val="single" w:color="000000" w:sz="4" w:space="0"/>
              <w:bottom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4869" w:type="dxa"/>
            <w:gridSpan w:val="7"/>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eastAsia="宋体" w:cs="宋体"/>
                <w:i w:val="0"/>
                <w:color w:val="auto"/>
                <w:kern w:val="0"/>
                <w:sz w:val="20"/>
                <w:szCs w:val="20"/>
                <w:u w:val="none"/>
                <w:lang w:val="en-US" w:eastAsia="zh-CN" w:bidi="ar"/>
              </w:rPr>
              <w:t>完成乡级道路75公里的日常养护，保障道路通畅。做到乡道养护全覆盖，实现有路必养，有路必管。</w:t>
            </w:r>
          </w:p>
        </w:tc>
        <w:tc>
          <w:tcPr>
            <w:tcW w:w="4558" w:type="dxa"/>
            <w:gridSpan w:val="7"/>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hint="eastAsia" w:ascii="宋体" w:hAnsi="宋体" w:eastAsia="仿宋_GB2312" w:cs="宋体"/>
                <w:color w:val="auto"/>
                <w:sz w:val="24"/>
                <w:lang w:eastAsia="zh-CN"/>
              </w:rPr>
            </w:pPr>
            <w:r>
              <w:rPr>
                <w:rFonts w:hint="eastAsia" w:ascii="宋体" w:hAnsi="宋体" w:cs="宋体"/>
                <w:color w:val="auto"/>
                <w:sz w:val="24"/>
              </w:rPr>
              <w:t>以道路日常保养为重点，保持路面整洁、路肩无杂物、边沟、桥、涵等排水系统完好、道路绿化保持完好、交安设施完好</w:t>
            </w:r>
            <w:r>
              <w:rPr>
                <w:rFonts w:hint="eastAsia" w:ascii="宋体" w:hAnsi="宋体" w:cs="宋体"/>
                <w:color w:val="auto"/>
                <w:sz w:val="24"/>
                <w:lang w:eastAsia="zh-CN"/>
              </w:rPr>
              <w:t>。</w:t>
            </w:r>
          </w:p>
        </w:tc>
      </w:tr>
      <w:tr>
        <w:tblPrEx>
          <w:tblLayout w:type="fixed"/>
          <w:tblCellMar>
            <w:top w:w="0" w:type="dxa"/>
            <w:left w:w="0" w:type="dxa"/>
            <w:bottom w:w="0" w:type="dxa"/>
            <w:right w:w="0" w:type="dxa"/>
          </w:tblCellMar>
        </w:tblPrEx>
        <w:trPr>
          <w:trHeight w:val="757" w:hRule="atLeast"/>
        </w:trPr>
        <w:tc>
          <w:tcPr>
            <w:tcW w:w="802" w:type="dxa"/>
            <w:vMerge w:val="restart"/>
            <w:tcBorders>
              <w:top w:val="single" w:color="000000" w:sz="4" w:space="0"/>
              <w:left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绩效指标完成情况</w:t>
            </w:r>
          </w:p>
        </w:tc>
        <w:tc>
          <w:tcPr>
            <w:tcW w:w="1885"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一级指标</w:t>
            </w:r>
          </w:p>
        </w:tc>
        <w:tc>
          <w:tcPr>
            <w:tcW w:w="1434"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二级指标</w:t>
            </w:r>
          </w:p>
        </w:tc>
        <w:tc>
          <w:tcPr>
            <w:tcW w:w="1550"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三级指标</w:t>
            </w:r>
          </w:p>
        </w:tc>
        <w:tc>
          <w:tcPr>
            <w:tcW w:w="235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预期指标值(包含数字及文字描述)</w:t>
            </w:r>
          </w:p>
        </w:tc>
        <w:tc>
          <w:tcPr>
            <w:tcW w:w="2208"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实际完成指标值(包含数字及文字描述)</w:t>
            </w:r>
          </w:p>
        </w:tc>
      </w:tr>
      <w:tr>
        <w:tblPrEx>
          <w:tblLayout w:type="fixed"/>
          <w:tblCellMar>
            <w:top w:w="0" w:type="dxa"/>
            <w:left w:w="0" w:type="dxa"/>
            <w:bottom w:w="0" w:type="dxa"/>
            <w:right w:w="0" w:type="dxa"/>
          </w:tblCellMar>
        </w:tblPrEx>
        <w:trPr>
          <w:trHeight w:val="708" w:hRule="atLeast"/>
        </w:trPr>
        <w:tc>
          <w:tcPr>
            <w:tcW w:w="802" w:type="dxa"/>
            <w:vMerge w:val="continue"/>
            <w:tcBorders>
              <w:left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885"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项目完成指标</w:t>
            </w:r>
          </w:p>
        </w:tc>
        <w:tc>
          <w:tcPr>
            <w:tcW w:w="1434"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数量指标</w:t>
            </w:r>
          </w:p>
        </w:tc>
        <w:tc>
          <w:tcPr>
            <w:tcW w:w="1550"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lang w:eastAsia="zh-CN"/>
              </w:rPr>
              <w:t>乡</w:t>
            </w:r>
            <w:r>
              <w:rPr>
                <w:rFonts w:hint="eastAsia" w:ascii="宋体" w:hAnsi="宋体" w:cs="宋体"/>
                <w:color w:val="auto"/>
                <w:kern w:val="0"/>
                <w:sz w:val="24"/>
              </w:rPr>
              <w:t>道公路里程</w:t>
            </w:r>
          </w:p>
        </w:tc>
        <w:tc>
          <w:tcPr>
            <w:tcW w:w="235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全区</w:t>
            </w:r>
            <w:r>
              <w:rPr>
                <w:rFonts w:hint="eastAsia" w:ascii="宋体" w:hAnsi="宋体" w:eastAsia="宋体" w:cs="宋体"/>
                <w:i w:val="0"/>
                <w:color w:val="auto"/>
                <w:kern w:val="0"/>
                <w:sz w:val="20"/>
                <w:szCs w:val="20"/>
                <w:u w:val="none"/>
                <w:lang w:val="en-US" w:eastAsia="zh-CN" w:bidi="ar"/>
              </w:rPr>
              <w:t>乡级道路75公里</w:t>
            </w:r>
            <w:r>
              <w:rPr>
                <w:rFonts w:hint="eastAsia" w:ascii="宋体" w:hAnsi="宋体" w:cs="宋体"/>
                <w:color w:val="auto"/>
                <w:kern w:val="0"/>
                <w:sz w:val="24"/>
              </w:rPr>
              <w:t>100%全覆盖，做到有路必养</w:t>
            </w:r>
          </w:p>
        </w:tc>
        <w:tc>
          <w:tcPr>
            <w:tcW w:w="2208"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100%全覆盖</w:t>
            </w:r>
          </w:p>
        </w:tc>
      </w:tr>
      <w:tr>
        <w:tblPrEx>
          <w:tblLayout w:type="fixed"/>
          <w:tblCellMar>
            <w:top w:w="0" w:type="dxa"/>
            <w:left w:w="0" w:type="dxa"/>
            <w:bottom w:w="0" w:type="dxa"/>
            <w:right w:w="0" w:type="dxa"/>
          </w:tblCellMar>
        </w:tblPrEx>
        <w:trPr>
          <w:trHeight w:val="390" w:hRule="atLeast"/>
        </w:trPr>
        <w:tc>
          <w:tcPr>
            <w:tcW w:w="802" w:type="dxa"/>
            <w:vMerge w:val="continue"/>
            <w:tcBorders>
              <w:left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885"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项目完成指标</w:t>
            </w:r>
          </w:p>
        </w:tc>
        <w:tc>
          <w:tcPr>
            <w:tcW w:w="1434"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质量指标</w:t>
            </w:r>
          </w:p>
        </w:tc>
        <w:tc>
          <w:tcPr>
            <w:tcW w:w="1550"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eastAsia="宋体" w:cs="宋体"/>
                <w:i w:val="0"/>
                <w:color w:val="auto"/>
                <w:kern w:val="0"/>
                <w:sz w:val="20"/>
                <w:szCs w:val="20"/>
                <w:u w:val="none"/>
                <w:lang w:val="en-US" w:eastAsia="zh-CN" w:bidi="ar"/>
              </w:rPr>
              <w:t>乡级道路优良路率</w:t>
            </w:r>
          </w:p>
        </w:tc>
        <w:tc>
          <w:tcPr>
            <w:tcW w:w="235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eastAsia="宋体" w:cs="宋体"/>
                <w:i w:val="0"/>
                <w:color w:val="auto"/>
                <w:kern w:val="0"/>
                <w:sz w:val="20"/>
                <w:szCs w:val="20"/>
                <w:u w:val="none"/>
                <w:lang w:val="en-US" w:eastAsia="zh-CN" w:bidi="ar"/>
              </w:rPr>
              <w:t>全区村道优良路比例保持在80%以上。</w:t>
            </w:r>
          </w:p>
        </w:tc>
        <w:tc>
          <w:tcPr>
            <w:tcW w:w="2208"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eastAsia="宋体" w:cs="宋体"/>
                <w:i w:val="0"/>
                <w:color w:val="auto"/>
                <w:kern w:val="0"/>
                <w:sz w:val="20"/>
                <w:szCs w:val="20"/>
                <w:u w:val="none"/>
                <w:lang w:val="en-US" w:eastAsia="zh-CN" w:bidi="ar"/>
              </w:rPr>
              <w:t>全区村道优良路比例保持在80%以上。</w:t>
            </w:r>
          </w:p>
        </w:tc>
      </w:tr>
      <w:tr>
        <w:tblPrEx>
          <w:tblLayout w:type="fixed"/>
          <w:tblCellMar>
            <w:top w:w="0" w:type="dxa"/>
            <w:left w:w="0" w:type="dxa"/>
            <w:bottom w:w="0" w:type="dxa"/>
            <w:right w:w="0" w:type="dxa"/>
          </w:tblCellMar>
        </w:tblPrEx>
        <w:trPr>
          <w:trHeight w:val="647" w:hRule="atLeast"/>
        </w:trPr>
        <w:tc>
          <w:tcPr>
            <w:tcW w:w="802" w:type="dxa"/>
            <w:vMerge w:val="continue"/>
            <w:tcBorders>
              <w:left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885"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项目完成指标</w:t>
            </w:r>
          </w:p>
        </w:tc>
        <w:tc>
          <w:tcPr>
            <w:tcW w:w="1434"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时效指标</w:t>
            </w:r>
          </w:p>
        </w:tc>
        <w:tc>
          <w:tcPr>
            <w:tcW w:w="1550"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年度考核</w:t>
            </w:r>
          </w:p>
        </w:tc>
        <w:tc>
          <w:tcPr>
            <w:tcW w:w="235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2020年12月</w:t>
            </w:r>
          </w:p>
        </w:tc>
        <w:tc>
          <w:tcPr>
            <w:tcW w:w="2208"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2020年12月</w:t>
            </w:r>
          </w:p>
        </w:tc>
      </w:tr>
      <w:tr>
        <w:tblPrEx>
          <w:tblLayout w:type="fixed"/>
          <w:tblCellMar>
            <w:top w:w="0" w:type="dxa"/>
            <w:left w:w="0" w:type="dxa"/>
            <w:bottom w:w="0" w:type="dxa"/>
            <w:right w:w="0" w:type="dxa"/>
          </w:tblCellMar>
        </w:tblPrEx>
        <w:trPr>
          <w:trHeight w:val="664" w:hRule="atLeast"/>
        </w:trPr>
        <w:tc>
          <w:tcPr>
            <w:tcW w:w="802" w:type="dxa"/>
            <w:vMerge w:val="continue"/>
            <w:tcBorders>
              <w:left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885"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kern w:val="0"/>
                <w:sz w:val="24"/>
              </w:rPr>
            </w:pPr>
            <w:r>
              <w:rPr>
                <w:rFonts w:hint="eastAsia" w:ascii="宋体" w:hAnsi="宋体" w:cs="宋体"/>
                <w:color w:val="auto"/>
                <w:kern w:val="0"/>
                <w:sz w:val="24"/>
              </w:rPr>
              <w:t>效益指标</w:t>
            </w:r>
          </w:p>
        </w:tc>
        <w:tc>
          <w:tcPr>
            <w:tcW w:w="1434"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社会效益</w:t>
            </w:r>
          </w:p>
        </w:tc>
        <w:tc>
          <w:tcPr>
            <w:tcW w:w="1550"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保持公路“畅、洁、绿、美”</w:t>
            </w:r>
          </w:p>
        </w:tc>
        <w:tc>
          <w:tcPr>
            <w:tcW w:w="235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贡井区农村道路形象提升，增强人车出行的舒适度</w:t>
            </w:r>
          </w:p>
        </w:tc>
        <w:tc>
          <w:tcPr>
            <w:tcW w:w="2208"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贡井区农村道路形象提升，增强人车出行的舒适度</w:t>
            </w:r>
          </w:p>
        </w:tc>
      </w:tr>
      <w:tr>
        <w:tblPrEx>
          <w:tblLayout w:type="fixed"/>
          <w:tblCellMar>
            <w:top w:w="0" w:type="dxa"/>
            <w:left w:w="0" w:type="dxa"/>
            <w:bottom w:w="0" w:type="dxa"/>
            <w:right w:w="0" w:type="dxa"/>
          </w:tblCellMar>
        </w:tblPrEx>
        <w:trPr>
          <w:trHeight w:val="335" w:hRule="atLeast"/>
        </w:trPr>
        <w:tc>
          <w:tcPr>
            <w:tcW w:w="802" w:type="dxa"/>
            <w:vMerge w:val="continue"/>
            <w:tcBorders>
              <w:left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885"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满意度指标</w:t>
            </w:r>
          </w:p>
        </w:tc>
        <w:tc>
          <w:tcPr>
            <w:tcW w:w="1434"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满意指标</w:t>
            </w:r>
          </w:p>
        </w:tc>
        <w:tc>
          <w:tcPr>
            <w:tcW w:w="1550"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区域群众满意度</w:t>
            </w:r>
          </w:p>
        </w:tc>
        <w:tc>
          <w:tcPr>
            <w:tcW w:w="235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≥95%</w:t>
            </w:r>
          </w:p>
        </w:tc>
        <w:tc>
          <w:tcPr>
            <w:tcW w:w="2208"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95%</w:t>
            </w:r>
          </w:p>
        </w:tc>
      </w:tr>
      <w:tr>
        <w:tblPrEx>
          <w:tblLayout w:type="fixed"/>
          <w:tblCellMar>
            <w:top w:w="0" w:type="dxa"/>
            <w:left w:w="0" w:type="dxa"/>
            <w:bottom w:w="0" w:type="dxa"/>
            <w:right w:w="0" w:type="dxa"/>
          </w:tblCellMar>
        </w:tblPrEx>
        <w:trPr>
          <w:gridAfter w:val="1"/>
          <w:wAfter w:w="269" w:type="dxa"/>
          <w:trHeight w:val="1034" w:hRule="atLeast"/>
        </w:trPr>
        <w:tc>
          <w:tcPr>
            <w:tcW w:w="9960" w:type="dxa"/>
            <w:gridSpan w:val="14"/>
            <w:noWrap/>
            <w:tcMar>
              <w:top w:w="15" w:type="dxa"/>
              <w:left w:w="15" w:type="dxa"/>
              <w:bottom w:w="0" w:type="dxa"/>
              <w:right w:w="15" w:type="dxa"/>
            </w:tcMar>
            <w:vAlign w:val="center"/>
          </w:tcPr>
          <w:p>
            <w:pPr>
              <w:pStyle w:val="15"/>
              <w:pageBreakBefore w:val="0"/>
              <w:widowControl/>
              <w:kinsoku/>
              <w:wordWrap/>
              <w:overflowPunct/>
              <w:topLinePunct w:val="0"/>
              <w:bidi w:val="0"/>
              <w:adjustRightInd w:val="0"/>
              <w:snapToGrid w:val="0"/>
              <w:spacing w:line="560" w:lineRule="exact"/>
              <w:ind w:firstLine="0" w:firstLineChars="0"/>
              <w:jc w:val="center"/>
              <w:textAlignment w:val="center"/>
              <w:rPr>
                <w:rFonts w:hint="eastAsia" w:ascii="黑体" w:hAnsi="黑体" w:eastAsia="黑体" w:cs="宋体"/>
                <w:bCs/>
                <w:color w:val="auto"/>
                <w:kern w:val="0"/>
                <w:sz w:val="36"/>
                <w:szCs w:val="36"/>
              </w:rPr>
            </w:pPr>
          </w:p>
          <w:p>
            <w:pPr>
              <w:pStyle w:val="15"/>
              <w:pageBreakBefore w:val="0"/>
              <w:widowControl/>
              <w:kinsoku/>
              <w:wordWrap/>
              <w:overflowPunct/>
              <w:topLinePunct w:val="0"/>
              <w:bidi w:val="0"/>
              <w:adjustRightInd w:val="0"/>
              <w:snapToGrid w:val="0"/>
              <w:spacing w:line="560" w:lineRule="exact"/>
              <w:ind w:firstLine="0" w:firstLineChars="0"/>
              <w:jc w:val="center"/>
              <w:textAlignment w:val="center"/>
              <w:rPr>
                <w:rFonts w:hint="eastAsia" w:ascii="黑体" w:hAnsi="黑体" w:eastAsia="黑体" w:cs="宋体"/>
                <w:bCs/>
                <w:color w:val="auto"/>
                <w:kern w:val="0"/>
                <w:sz w:val="36"/>
                <w:szCs w:val="36"/>
              </w:rPr>
            </w:pPr>
          </w:p>
          <w:p>
            <w:pPr>
              <w:pStyle w:val="15"/>
              <w:pageBreakBefore w:val="0"/>
              <w:widowControl/>
              <w:kinsoku/>
              <w:wordWrap/>
              <w:overflowPunct/>
              <w:topLinePunct w:val="0"/>
              <w:bidi w:val="0"/>
              <w:adjustRightInd w:val="0"/>
              <w:snapToGrid w:val="0"/>
              <w:spacing w:line="560" w:lineRule="exact"/>
              <w:ind w:firstLine="0" w:firstLineChars="0"/>
              <w:jc w:val="center"/>
              <w:textAlignment w:val="center"/>
              <w:rPr>
                <w:rFonts w:hint="eastAsia" w:ascii="黑体" w:hAnsi="黑体" w:eastAsia="黑体" w:cs="宋体"/>
                <w:bCs/>
                <w:color w:val="auto"/>
                <w:kern w:val="0"/>
                <w:sz w:val="36"/>
                <w:szCs w:val="36"/>
              </w:rPr>
            </w:pPr>
          </w:p>
          <w:p>
            <w:pPr>
              <w:pStyle w:val="15"/>
              <w:pageBreakBefore w:val="0"/>
              <w:widowControl/>
              <w:kinsoku/>
              <w:wordWrap/>
              <w:overflowPunct/>
              <w:topLinePunct w:val="0"/>
              <w:bidi w:val="0"/>
              <w:adjustRightInd w:val="0"/>
              <w:snapToGrid w:val="0"/>
              <w:spacing w:line="560" w:lineRule="exact"/>
              <w:ind w:firstLine="0" w:firstLineChars="0"/>
              <w:jc w:val="center"/>
              <w:textAlignment w:val="center"/>
              <w:rPr>
                <w:rFonts w:hint="eastAsia" w:ascii="黑体" w:hAnsi="黑体" w:eastAsia="黑体" w:cs="宋体"/>
                <w:bCs/>
                <w:color w:val="auto"/>
                <w:kern w:val="0"/>
                <w:sz w:val="36"/>
                <w:szCs w:val="36"/>
              </w:rPr>
            </w:pPr>
          </w:p>
          <w:p>
            <w:pPr>
              <w:pStyle w:val="15"/>
              <w:pageBreakBefore w:val="0"/>
              <w:widowControl/>
              <w:kinsoku/>
              <w:wordWrap/>
              <w:overflowPunct/>
              <w:topLinePunct w:val="0"/>
              <w:bidi w:val="0"/>
              <w:adjustRightInd w:val="0"/>
              <w:snapToGrid w:val="0"/>
              <w:spacing w:line="560" w:lineRule="exact"/>
              <w:ind w:firstLine="0" w:firstLineChars="0"/>
              <w:jc w:val="center"/>
              <w:textAlignment w:val="center"/>
              <w:rPr>
                <w:rFonts w:ascii="宋体" w:hAnsi="宋体" w:cs="宋体"/>
                <w:color w:val="auto"/>
                <w:sz w:val="36"/>
                <w:szCs w:val="36"/>
              </w:rPr>
            </w:pPr>
            <w:r>
              <w:rPr>
                <w:rFonts w:hint="eastAsia" w:ascii="黑体" w:hAnsi="黑体" w:eastAsia="黑体" w:cs="宋体"/>
                <w:bCs/>
                <w:color w:val="auto"/>
                <w:kern w:val="0"/>
                <w:sz w:val="36"/>
                <w:szCs w:val="36"/>
              </w:rPr>
              <w:t>项目支出绩效目标完成情况表</w:t>
            </w:r>
            <w:r>
              <w:rPr>
                <w:rFonts w:hint="eastAsia" w:ascii="宋体" w:hAnsi="宋体" w:cs="宋体"/>
                <w:b/>
                <w:bCs/>
                <w:color w:val="auto"/>
                <w:kern w:val="0"/>
                <w:sz w:val="36"/>
                <w:szCs w:val="36"/>
              </w:rPr>
              <w:br w:type="textWrapping"/>
            </w:r>
            <w:r>
              <w:rPr>
                <w:rFonts w:hint="eastAsia" w:ascii="宋体" w:hAnsi="宋体" w:cs="宋体"/>
                <w:color w:val="auto"/>
                <w:kern w:val="0"/>
                <w:sz w:val="36"/>
                <w:szCs w:val="36"/>
              </w:rPr>
              <w:t>(2020年度)</w:t>
            </w:r>
          </w:p>
        </w:tc>
      </w:tr>
      <w:tr>
        <w:tblPrEx>
          <w:tblLayout w:type="fixed"/>
          <w:tblCellMar>
            <w:top w:w="0" w:type="dxa"/>
            <w:left w:w="0" w:type="dxa"/>
            <w:bottom w:w="0" w:type="dxa"/>
            <w:right w:w="0" w:type="dxa"/>
          </w:tblCellMar>
        </w:tblPrEx>
        <w:trPr>
          <w:gridAfter w:val="1"/>
          <w:wAfter w:w="269" w:type="dxa"/>
          <w:trHeight w:val="276" w:hRule="atLeast"/>
        </w:trPr>
        <w:tc>
          <w:tcPr>
            <w:tcW w:w="4269" w:type="dxa"/>
            <w:gridSpan w:val="7"/>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项目名称</w:t>
            </w:r>
          </w:p>
        </w:tc>
        <w:tc>
          <w:tcPr>
            <w:tcW w:w="5691" w:type="dxa"/>
            <w:gridSpan w:val="7"/>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村道建设监督管理</w:t>
            </w:r>
          </w:p>
        </w:tc>
      </w:tr>
      <w:tr>
        <w:tblPrEx>
          <w:tblLayout w:type="fixed"/>
          <w:tblCellMar>
            <w:top w:w="0" w:type="dxa"/>
            <w:left w:w="0" w:type="dxa"/>
            <w:bottom w:w="0" w:type="dxa"/>
            <w:right w:w="0" w:type="dxa"/>
          </w:tblCellMar>
        </w:tblPrEx>
        <w:trPr>
          <w:gridAfter w:val="1"/>
          <w:wAfter w:w="269" w:type="dxa"/>
          <w:trHeight w:val="276" w:hRule="atLeast"/>
        </w:trPr>
        <w:tc>
          <w:tcPr>
            <w:tcW w:w="4269" w:type="dxa"/>
            <w:gridSpan w:val="7"/>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预算单位</w:t>
            </w:r>
          </w:p>
        </w:tc>
        <w:tc>
          <w:tcPr>
            <w:tcW w:w="5691" w:type="dxa"/>
            <w:gridSpan w:val="7"/>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自贡市贡井区交通运输局</w:t>
            </w:r>
          </w:p>
        </w:tc>
      </w:tr>
      <w:tr>
        <w:tblPrEx>
          <w:tblLayout w:type="fixed"/>
          <w:tblCellMar>
            <w:top w:w="0" w:type="dxa"/>
            <w:left w:w="0" w:type="dxa"/>
            <w:bottom w:w="0" w:type="dxa"/>
            <w:right w:w="0" w:type="dxa"/>
          </w:tblCellMar>
        </w:tblPrEx>
        <w:trPr>
          <w:gridAfter w:val="1"/>
          <w:wAfter w:w="269" w:type="dxa"/>
          <w:trHeight w:val="276" w:hRule="atLeast"/>
        </w:trPr>
        <w:tc>
          <w:tcPr>
            <w:tcW w:w="1086" w:type="dxa"/>
            <w:gridSpan w:val="2"/>
            <w:vMerge w:val="restar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预算执行情况(万元)</w:t>
            </w:r>
          </w:p>
        </w:tc>
        <w:tc>
          <w:tcPr>
            <w:tcW w:w="3183" w:type="dxa"/>
            <w:gridSpan w:val="5"/>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预算数:</w:t>
            </w:r>
          </w:p>
        </w:tc>
        <w:tc>
          <w:tcPr>
            <w:tcW w:w="2017"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14.04</w:t>
            </w:r>
          </w:p>
        </w:tc>
        <w:tc>
          <w:tcPr>
            <w:tcW w:w="2016"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执行数:</w:t>
            </w:r>
          </w:p>
        </w:tc>
        <w:tc>
          <w:tcPr>
            <w:tcW w:w="1658"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14.04</w:t>
            </w:r>
          </w:p>
        </w:tc>
      </w:tr>
      <w:tr>
        <w:tblPrEx>
          <w:tblLayout w:type="fixed"/>
          <w:tblCellMar>
            <w:top w:w="0" w:type="dxa"/>
            <w:left w:w="0" w:type="dxa"/>
            <w:bottom w:w="0" w:type="dxa"/>
            <w:right w:w="0" w:type="dxa"/>
          </w:tblCellMar>
        </w:tblPrEx>
        <w:trPr>
          <w:gridAfter w:val="1"/>
          <w:wAfter w:w="269" w:type="dxa"/>
          <w:trHeight w:val="212" w:hRule="atLeast"/>
        </w:trPr>
        <w:tc>
          <w:tcPr>
            <w:tcW w:w="1086"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3183" w:type="dxa"/>
            <w:gridSpan w:val="5"/>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其中-财政拨款:</w:t>
            </w:r>
          </w:p>
        </w:tc>
        <w:tc>
          <w:tcPr>
            <w:tcW w:w="2017"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14.04</w:t>
            </w:r>
          </w:p>
        </w:tc>
        <w:tc>
          <w:tcPr>
            <w:tcW w:w="2016"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其中-财政拨款:</w:t>
            </w:r>
          </w:p>
        </w:tc>
        <w:tc>
          <w:tcPr>
            <w:tcW w:w="1658"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14.04</w:t>
            </w:r>
          </w:p>
        </w:tc>
      </w:tr>
      <w:tr>
        <w:tblPrEx>
          <w:tblLayout w:type="fixed"/>
          <w:tblCellMar>
            <w:top w:w="0" w:type="dxa"/>
            <w:left w:w="0" w:type="dxa"/>
            <w:bottom w:w="0" w:type="dxa"/>
            <w:right w:w="0" w:type="dxa"/>
          </w:tblCellMar>
        </w:tblPrEx>
        <w:trPr>
          <w:gridAfter w:val="1"/>
          <w:wAfter w:w="269" w:type="dxa"/>
          <w:trHeight w:val="437" w:hRule="atLeast"/>
        </w:trPr>
        <w:tc>
          <w:tcPr>
            <w:tcW w:w="1086"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3183" w:type="dxa"/>
            <w:gridSpan w:val="5"/>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其它资金:</w:t>
            </w:r>
          </w:p>
        </w:tc>
        <w:tc>
          <w:tcPr>
            <w:tcW w:w="2017"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0</w:t>
            </w:r>
          </w:p>
        </w:tc>
        <w:tc>
          <w:tcPr>
            <w:tcW w:w="2016"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其它资金:</w:t>
            </w:r>
          </w:p>
        </w:tc>
        <w:tc>
          <w:tcPr>
            <w:tcW w:w="1658"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bidi w:val="0"/>
              <w:adjustRightInd w:val="0"/>
              <w:snapToGrid w:val="0"/>
              <w:spacing w:line="560" w:lineRule="exact"/>
              <w:jc w:val="center"/>
              <w:rPr>
                <w:rFonts w:ascii="宋体" w:hAnsi="宋体" w:cs="宋体"/>
                <w:color w:val="auto"/>
                <w:sz w:val="24"/>
              </w:rPr>
            </w:pPr>
          </w:p>
        </w:tc>
      </w:tr>
      <w:tr>
        <w:tblPrEx>
          <w:tblLayout w:type="fixed"/>
          <w:tblCellMar>
            <w:top w:w="0" w:type="dxa"/>
            <w:left w:w="0" w:type="dxa"/>
            <w:bottom w:w="0" w:type="dxa"/>
            <w:right w:w="0" w:type="dxa"/>
          </w:tblCellMar>
        </w:tblPrEx>
        <w:trPr>
          <w:gridAfter w:val="1"/>
          <w:wAfter w:w="269" w:type="dxa"/>
          <w:trHeight w:val="276" w:hRule="atLeast"/>
        </w:trPr>
        <w:tc>
          <w:tcPr>
            <w:tcW w:w="1086" w:type="dxa"/>
            <w:gridSpan w:val="2"/>
            <w:vMerge w:val="restart"/>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年度目标完成情况</w:t>
            </w:r>
          </w:p>
        </w:tc>
        <w:tc>
          <w:tcPr>
            <w:tcW w:w="5200" w:type="dxa"/>
            <w:gridSpan w:val="7"/>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预期目标</w:t>
            </w:r>
          </w:p>
        </w:tc>
        <w:tc>
          <w:tcPr>
            <w:tcW w:w="3674" w:type="dxa"/>
            <w:gridSpan w:val="5"/>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实际完成目标</w:t>
            </w:r>
          </w:p>
        </w:tc>
      </w:tr>
      <w:tr>
        <w:tblPrEx>
          <w:tblLayout w:type="fixed"/>
          <w:tblCellMar>
            <w:top w:w="0" w:type="dxa"/>
            <w:left w:w="0" w:type="dxa"/>
            <w:bottom w:w="0" w:type="dxa"/>
            <w:right w:w="0" w:type="dxa"/>
          </w:tblCellMar>
        </w:tblPrEx>
        <w:trPr>
          <w:gridAfter w:val="1"/>
          <w:wAfter w:w="269" w:type="dxa"/>
          <w:trHeight w:val="947" w:hRule="atLeast"/>
        </w:trPr>
        <w:tc>
          <w:tcPr>
            <w:tcW w:w="1086"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5200" w:type="dxa"/>
            <w:gridSpan w:val="7"/>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审查村道设计和建设标准，指导镇村建设前期工作；开展培训，增强镇村干部项目建设的规范性；定期开展质量监督，确保建设质量和安全。</w:t>
            </w:r>
          </w:p>
        </w:tc>
        <w:tc>
          <w:tcPr>
            <w:tcW w:w="3674" w:type="dxa"/>
            <w:gridSpan w:val="5"/>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全面完成</w:t>
            </w:r>
          </w:p>
        </w:tc>
      </w:tr>
      <w:tr>
        <w:tblPrEx>
          <w:tblLayout w:type="fixed"/>
          <w:tblCellMar>
            <w:top w:w="0" w:type="dxa"/>
            <w:left w:w="0" w:type="dxa"/>
            <w:bottom w:w="0" w:type="dxa"/>
            <w:right w:w="0" w:type="dxa"/>
          </w:tblCellMar>
        </w:tblPrEx>
        <w:trPr>
          <w:gridAfter w:val="1"/>
          <w:wAfter w:w="269" w:type="dxa"/>
          <w:trHeight w:val="869" w:hRule="atLeast"/>
        </w:trPr>
        <w:tc>
          <w:tcPr>
            <w:tcW w:w="1086" w:type="dxa"/>
            <w:gridSpan w:val="2"/>
            <w:vMerge w:val="restart"/>
            <w:tcBorders>
              <w:top w:val="single" w:color="000000" w:sz="4" w:space="0"/>
              <w:left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绩效指标完成情况</w:t>
            </w:r>
          </w:p>
        </w:tc>
        <w:tc>
          <w:tcPr>
            <w:tcW w:w="18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一级指标</w:t>
            </w:r>
          </w:p>
        </w:tc>
        <w:tc>
          <w:tcPr>
            <w:tcW w:w="130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二级指标</w:t>
            </w:r>
          </w:p>
        </w:tc>
        <w:tc>
          <w:tcPr>
            <w:tcW w:w="2017"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三级指标</w:t>
            </w:r>
          </w:p>
        </w:tc>
        <w:tc>
          <w:tcPr>
            <w:tcW w:w="2133"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预期指标值(包含数字及文字描述)</w:t>
            </w:r>
          </w:p>
        </w:tc>
        <w:tc>
          <w:tcPr>
            <w:tcW w:w="154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实际完成指标值(包含数字及文字描述)</w:t>
            </w:r>
          </w:p>
        </w:tc>
      </w:tr>
      <w:tr>
        <w:tblPrEx>
          <w:tblLayout w:type="fixed"/>
          <w:tblCellMar>
            <w:top w:w="0" w:type="dxa"/>
            <w:left w:w="0" w:type="dxa"/>
            <w:bottom w:w="0" w:type="dxa"/>
            <w:right w:w="0" w:type="dxa"/>
          </w:tblCellMar>
        </w:tblPrEx>
        <w:trPr>
          <w:gridAfter w:val="1"/>
          <w:wAfter w:w="269" w:type="dxa"/>
          <w:trHeight w:val="625" w:hRule="atLeast"/>
        </w:trPr>
        <w:tc>
          <w:tcPr>
            <w:tcW w:w="1086" w:type="dxa"/>
            <w:gridSpan w:val="2"/>
            <w:vMerge w:val="continue"/>
            <w:tcBorders>
              <w:left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8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项目完成指标</w:t>
            </w:r>
          </w:p>
        </w:tc>
        <w:tc>
          <w:tcPr>
            <w:tcW w:w="130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数量指标</w:t>
            </w:r>
          </w:p>
        </w:tc>
        <w:tc>
          <w:tcPr>
            <w:tcW w:w="2017"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ascii="宋体" w:hAnsi="宋体"/>
                <w:color w:val="auto"/>
                <w:sz w:val="20"/>
              </w:rPr>
              <w:t>村道设计审查</w:t>
            </w:r>
          </w:p>
        </w:tc>
        <w:tc>
          <w:tcPr>
            <w:tcW w:w="2133"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ascii="宋体" w:hAnsi="宋体"/>
                <w:color w:val="auto"/>
                <w:sz w:val="20"/>
              </w:rPr>
              <w:t>30套</w:t>
            </w:r>
          </w:p>
        </w:tc>
        <w:tc>
          <w:tcPr>
            <w:tcW w:w="154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32套</w:t>
            </w:r>
          </w:p>
        </w:tc>
      </w:tr>
      <w:tr>
        <w:tblPrEx>
          <w:tblLayout w:type="fixed"/>
          <w:tblCellMar>
            <w:top w:w="0" w:type="dxa"/>
            <w:left w:w="0" w:type="dxa"/>
            <w:bottom w:w="0" w:type="dxa"/>
            <w:right w:w="0" w:type="dxa"/>
          </w:tblCellMar>
        </w:tblPrEx>
        <w:trPr>
          <w:gridAfter w:val="1"/>
          <w:wAfter w:w="269" w:type="dxa"/>
          <w:trHeight w:val="535" w:hRule="atLeast"/>
        </w:trPr>
        <w:tc>
          <w:tcPr>
            <w:tcW w:w="1086" w:type="dxa"/>
            <w:gridSpan w:val="2"/>
            <w:vMerge w:val="continue"/>
            <w:tcBorders>
              <w:left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8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项目完成指标</w:t>
            </w:r>
          </w:p>
        </w:tc>
        <w:tc>
          <w:tcPr>
            <w:tcW w:w="130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数量指标</w:t>
            </w:r>
          </w:p>
        </w:tc>
        <w:tc>
          <w:tcPr>
            <w:tcW w:w="2017"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ascii="宋体" w:hAnsi="宋体"/>
                <w:color w:val="auto"/>
                <w:sz w:val="20"/>
              </w:rPr>
              <w:t>村道建设管理培训</w:t>
            </w:r>
          </w:p>
        </w:tc>
        <w:tc>
          <w:tcPr>
            <w:tcW w:w="2133"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ascii="宋体" w:hAnsi="宋体"/>
                <w:color w:val="auto"/>
                <w:sz w:val="20"/>
              </w:rPr>
              <w:t>2次</w:t>
            </w:r>
          </w:p>
        </w:tc>
        <w:tc>
          <w:tcPr>
            <w:tcW w:w="154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2次</w:t>
            </w:r>
          </w:p>
        </w:tc>
      </w:tr>
      <w:tr>
        <w:tblPrEx>
          <w:tblLayout w:type="fixed"/>
          <w:tblCellMar>
            <w:top w:w="0" w:type="dxa"/>
            <w:left w:w="0" w:type="dxa"/>
            <w:bottom w:w="0" w:type="dxa"/>
            <w:right w:w="0" w:type="dxa"/>
          </w:tblCellMar>
        </w:tblPrEx>
        <w:trPr>
          <w:gridAfter w:val="1"/>
          <w:wAfter w:w="269" w:type="dxa"/>
          <w:trHeight w:val="630" w:hRule="atLeast"/>
        </w:trPr>
        <w:tc>
          <w:tcPr>
            <w:tcW w:w="1086" w:type="dxa"/>
            <w:gridSpan w:val="2"/>
            <w:vMerge w:val="continue"/>
            <w:tcBorders>
              <w:left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8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项目完成指标</w:t>
            </w:r>
          </w:p>
        </w:tc>
        <w:tc>
          <w:tcPr>
            <w:tcW w:w="130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数量指标</w:t>
            </w:r>
          </w:p>
        </w:tc>
        <w:tc>
          <w:tcPr>
            <w:tcW w:w="2017"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ascii="宋体" w:hAnsi="宋体"/>
                <w:color w:val="auto"/>
                <w:sz w:val="20"/>
              </w:rPr>
              <w:t>工程建设质量监督</w:t>
            </w:r>
          </w:p>
        </w:tc>
        <w:tc>
          <w:tcPr>
            <w:tcW w:w="2133"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ascii="宋体" w:hAnsi="宋体"/>
                <w:color w:val="auto"/>
                <w:sz w:val="20"/>
              </w:rPr>
              <w:t>每条路检查4次，30条路全年监督检查120次.</w:t>
            </w:r>
          </w:p>
        </w:tc>
        <w:tc>
          <w:tcPr>
            <w:tcW w:w="154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完成目标</w:t>
            </w:r>
          </w:p>
        </w:tc>
      </w:tr>
      <w:tr>
        <w:tblPrEx>
          <w:tblLayout w:type="fixed"/>
          <w:tblCellMar>
            <w:top w:w="0" w:type="dxa"/>
            <w:left w:w="0" w:type="dxa"/>
            <w:bottom w:w="0" w:type="dxa"/>
            <w:right w:w="0" w:type="dxa"/>
          </w:tblCellMar>
        </w:tblPrEx>
        <w:trPr>
          <w:gridAfter w:val="1"/>
          <w:wAfter w:w="269" w:type="dxa"/>
          <w:trHeight w:val="513" w:hRule="atLeast"/>
        </w:trPr>
        <w:tc>
          <w:tcPr>
            <w:tcW w:w="1086" w:type="dxa"/>
            <w:gridSpan w:val="2"/>
            <w:vMerge w:val="continue"/>
            <w:tcBorders>
              <w:left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8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kern w:val="0"/>
                <w:sz w:val="24"/>
              </w:rPr>
            </w:pPr>
            <w:r>
              <w:rPr>
                <w:rFonts w:hint="eastAsia" w:ascii="宋体" w:hAnsi="宋体" w:cs="宋体"/>
                <w:color w:val="auto"/>
                <w:kern w:val="0"/>
                <w:sz w:val="24"/>
              </w:rPr>
              <w:t>项目完成指标</w:t>
            </w:r>
          </w:p>
        </w:tc>
        <w:tc>
          <w:tcPr>
            <w:tcW w:w="130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质量指标</w:t>
            </w:r>
          </w:p>
        </w:tc>
        <w:tc>
          <w:tcPr>
            <w:tcW w:w="2017"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ascii="宋体" w:hAnsi="宋体"/>
                <w:color w:val="auto"/>
                <w:sz w:val="20"/>
              </w:rPr>
              <w:t>村道建设日常管理</w:t>
            </w:r>
          </w:p>
        </w:tc>
        <w:tc>
          <w:tcPr>
            <w:tcW w:w="2133"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ascii="宋体" w:hAnsi="宋体"/>
                <w:color w:val="auto"/>
                <w:sz w:val="20"/>
              </w:rPr>
              <w:t>规范有序、责任到位。</w:t>
            </w:r>
          </w:p>
        </w:tc>
        <w:tc>
          <w:tcPr>
            <w:tcW w:w="154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完成目标</w:t>
            </w:r>
          </w:p>
        </w:tc>
      </w:tr>
      <w:tr>
        <w:tblPrEx>
          <w:tblLayout w:type="fixed"/>
          <w:tblCellMar>
            <w:top w:w="0" w:type="dxa"/>
            <w:left w:w="0" w:type="dxa"/>
            <w:bottom w:w="0" w:type="dxa"/>
            <w:right w:w="0" w:type="dxa"/>
          </w:tblCellMar>
        </w:tblPrEx>
        <w:trPr>
          <w:gridAfter w:val="1"/>
          <w:wAfter w:w="269" w:type="dxa"/>
          <w:trHeight w:val="507" w:hRule="atLeast"/>
        </w:trPr>
        <w:tc>
          <w:tcPr>
            <w:tcW w:w="1086" w:type="dxa"/>
            <w:gridSpan w:val="2"/>
            <w:vMerge w:val="continue"/>
            <w:tcBorders>
              <w:left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8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项目完成指标</w:t>
            </w:r>
          </w:p>
        </w:tc>
        <w:tc>
          <w:tcPr>
            <w:tcW w:w="130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质量指标</w:t>
            </w:r>
          </w:p>
        </w:tc>
        <w:tc>
          <w:tcPr>
            <w:tcW w:w="2017"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ascii="宋体" w:hAnsi="宋体"/>
                <w:color w:val="auto"/>
                <w:sz w:val="20"/>
              </w:rPr>
              <w:t>工程建设</w:t>
            </w:r>
          </w:p>
        </w:tc>
        <w:tc>
          <w:tcPr>
            <w:tcW w:w="2133"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ascii="宋体" w:hAnsi="宋体"/>
                <w:color w:val="auto"/>
                <w:sz w:val="20"/>
              </w:rPr>
              <w:t>确保安全、质量双第一，优良率90%以上</w:t>
            </w:r>
          </w:p>
        </w:tc>
        <w:tc>
          <w:tcPr>
            <w:tcW w:w="154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完成目标</w:t>
            </w:r>
          </w:p>
        </w:tc>
      </w:tr>
      <w:tr>
        <w:tblPrEx>
          <w:tblLayout w:type="fixed"/>
          <w:tblCellMar>
            <w:top w:w="0" w:type="dxa"/>
            <w:left w:w="0" w:type="dxa"/>
            <w:bottom w:w="0" w:type="dxa"/>
            <w:right w:w="0" w:type="dxa"/>
          </w:tblCellMar>
        </w:tblPrEx>
        <w:trPr>
          <w:gridAfter w:val="1"/>
          <w:wAfter w:w="269" w:type="dxa"/>
          <w:trHeight w:val="473" w:hRule="atLeast"/>
        </w:trPr>
        <w:tc>
          <w:tcPr>
            <w:tcW w:w="1086" w:type="dxa"/>
            <w:gridSpan w:val="2"/>
            <w:vMerge w:val="continue"/>
            <w:tcBorders>
              <w:left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8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项目完成指标</w:t>
            </w:r>
          </w:p>
        </w:tc>
        <w:tc>
          <w:tcPr>
            <w:tcW w:w="130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时效指标</w:t>
            </w:r>
          </w:p>
        </w:tc>
        <w:tc>
          <w:tcPr>
            <w:tcW w:w="2017"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ascii="宋体" w:hAnsi="宋体"/>
                <w:color w:val="auto"/>
                <w:sz w:val="20"/>
              </w:rPr>
              <w:t>建设管理培训</w:t>
            </w:r>
          </w:p>
        </w:tc>
        <w:tc>
          <w:tcPr>
            <w:tcW w:w="2133"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ascii="宋体" w:hAnsi="宋体"/>
                <w:color w:val="auto"/>
                <w:sz w:val="20"/>
              </w:rPr>
              <w:t>一、三季度各一次</w:t>
            </w:r>
          </w:p>
        </w:tc>
        <w:tc>
          <w:tcPr>
            <w:tcW w:w="154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完成目标</w:t>
            </w:r>
          </w:p>
        </w:tc>
      </w:tr>
      <w:tr>
        <w:tblPrEx>
          <w:tblLayout w:type="fixed"/>
          <w:tblCellMar>
            <w:top w:w="0" w:type="dxa"/>
            <w:left w:w="0" w:type="dxa"/>
            <w:bottom w:w="0" w:type="dxa"/>
            <w:right w:w="0" w:type="dxa"/>
          </w:tblCellMar>
        </w:tblPrEx>
        <w:trPr>
          <w:gridAfter w:val="1"/>
          <w:wAfter w:w="269" w:type="dxa"/>
          <w:trHeight w:val="447" w:hRule="atLeast"/>
        </w:trPr>
        <w:tc>
          <w:tcPr>
            <w:tcW w:w="1086" w:type="dxa"/>
            <w:gridSpan w:val="2"/>
            <w:vMerge w:val="continue"/>
            <w:tcBorders>
              <w:left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8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kern w:val="0"/>
                <w:sz w:val="24"/>
              </w:rPr>
            </w:pPr>
            <w:r>
              <w:rPr>
                <w:rFonts w:hint="eastAsia" w:ascii="宋体" w:hAnsi="宋体" w:cs="宋体"/>
                <w:color w:val="auto"/>
                <w:kern w:val="0"/>
                <w:sz w:val="24"/>
              </w:rPr>
              <w:t>项目完成指标</w:t>
            </w:r>
          </w:p>
        </w:tc>
        <w:tc>
          <w:tcPr>
            <w:tcW w:w="130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时效指标</w:t>
            </w:r>
          </w:p>
        </w:tc>
        <w:tc>
          <w:tcPr>
            <w:tcW w:w="2017"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ascii="宋体" w:hAnsi="宋体"/>
                <w:color w:val="auto"/>
                <w:sz w:val="20"/>
              </w:rPr>
              <w:t>工程完工率</w:t>
            </w:r>
          </w:p>
        </w:tc>
        <w:tc>
          <w:tcPr>
            <w:tcW w:w="2133"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ascii="宋体" w:hAnsi="宋体"/>
                <w:color w:val="auto"/>
                <w:sz w:val="20"/>
              </w:rPr>
              <w:t>≥80%</w:t>
            </w:r>
          </w:p>
        </w:tc>
        <w:tc>
          <w:tcPr>
            <w:tcW w:w="154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90%以上</w:t>
            </w:r>
          </w:p>
        </w:tc>
      </w:tr>
      <w:tr>
        <w:tblPrEx>
          <w:tblLayout w:type="fixed"/>
          <w:tblCellMar>
            <w:top w:w="0" w:type="dxa"/>
            <w:left w:w="0" w:type="dxa"/>
            <w:bottom w:w="0" w:type="dxa"/>
            <w:right w:w="0" w:type="dxa"/>
          </w:tblCellMar>
        </w:tblPrEx>
        <w:trPr>
          <w:gridAfter w:val="1"/>
          <w:wAfter w:w="269" w:type="dxa"/>
          <w:trHeight w:val="680" w:hRule="atLeast"/>
        </w:trPr>
        <w:tc>
          <w:tcPr>
            <w:tcW w:w="1086" w:type="dxa"/>
            <w:gridSpan w:val="2"/>
            <w:vMerge w:val="continue"/>
            <w:tcBorders>
              <w:left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8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kern w:val="0"/>
                <w:sz w:val="24"/>
              </w:rPr>
            </w:pPr>
            <w:r>
              <w:rPr>
                <w:rFonts w:hint="eastAsia" w:ascii="宋体" w:hAnsi="宋体" w:cs="宋体"/>
                <w:color w:val="auto"/>
                <w:kern w:val="0"/>
                <w:sz w:val="24"/>
              </w:rPr>
              <w:t>效益指标</w:t>
            </w:r>
          </w:p>
        </w:tc>
        <w:tc>
          <w:tcPr>
            <w:tcW w:w="130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经济效益</w:t>
            </w:r>
          </w:p>
        </w:tc>
        <w:tc>
          <w:tcPr>
            <w:tcW w:w="2017"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ascii="宋体" w:hAnsi="宋体"/>
                <w:color w:val="auto"/>
                <w:sz w:val="20"/>
              </w:rPr>
              <w:t>带动地方经济发展</w:t>
            </w:r>
          </w:p>
        </w:tc>
        <w:tc>
          <w:tcPr>
            <w:tcW w:w="2133"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ascii="宋体" w:hAnsi="宋体"/>
                <w:color w:val="auto"/>
                <w:sz w:val="20"/>
              </w:rPr>
              <w:t>沿线镇村生产总值增长2%，人均收入增长2%</w:t>
            </w:r>
          </w:p>
        </w:tc>
        <w:tc>
          <w:tcPr>
            <w:tcW w:w="154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达到</w:t>
            </w:r>
          </w:p>
        </w:tc>
      </w:tr>
      <w:tr>
        <w:tblPrEx>
          <w:tblLayout w:type="fixed"/>
          <w:tblCellMar>
            <w:top w:w="0" w:type="dxa"/>
            <w:left w:w="0" w:type="dxa"/>
            <w:bottom w:w="0" w:type="dxa"/>
            <w:right w:w="0" w:type="dxa"/>
          </w:tblCellMar>
        </w:tblPrEx>
        <w:trPr>
          <w:gridAfter w:val="1"/>
          <w:wAfter w:w="269" w:type="dxa"/>
          <w:trHeight w:val="707" w:hRule="atLeast"/>
        </w:trPr>
        <w:tc>
          <w:tcPr>
            <w:tcW w:w="1086" w:type="dxa"/>
            <w:gridSpan w:val="2"/>
            <w:vMerge w:val="continue"/>
            <w:tcBorders>
              <w:left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8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效益指标</w:t>
            </w:r>
          </w:p>
        </w:tc>
        <w:tc>
          <w:tcPr>
            <w:tcW w:w="130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生态效益</w:t>
            </w:r>
          </w:p>
        </w:tc>
        <w:tc>
          <w:tcPr>
            <w:tcW w:w="2017"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ascii="宋体" w:hAnsi="宋体"/>
                <w:color w:val="auto"/>
                <w:sz w:val="20"/>
              </w:rPr>
              <w:t>环保示范作用</w:t>
            </w:r>
          </w:p>
        </w:tc>
        <w:tc>
          <w:tcPr>
            <w:tcW w:w="2133"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ascii="宋体" w:hAnsi="宋体"/>
                <w:color w:val="auto"/>
                <w:sz w:val="20"/>
              </w:rPr>
              <w:t>减少泥路、碎石路，新建水泥路，促进环境质量提升</w:t>
            </w:r>
          </w:p>
        </w:tc>
        <w:tc>
          <w:tcPr>
            <w:tcW w:w="154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合格</w:t>
            </w:r>
          </w:p>
        </w:tc>
      </w:tr>
      <w:tr>
        <w:tblPrEx>
          <w:tblLayout w:type="fixed"/>
          <w:tblCellMar>
            <w:top w:w="0" w:type="dxa"/>
            <w:left w:w="0" w:type="dxa"/>
            <w:bottom w:w="0" w:type="dxa"/>
            <w:right w:w="0" w:type="dxa"/>
          </w:tblCellMar>
        </w:tblPrEx>
        <w:trPr>
          <w:gridAfter w:val="1"/>
          <w:wAfter w:w="269" w:type="dxa"/>
          <w:trHeight w:val="452" w:hRule="atLeast"/>
        </w:trPr>
        <w:tc>
          <w:tcPr>
            <w:tcW w:w="1086" w:type="dxa"/>
            <w:gridSpan w:val="2"/>
            <w:vMerge w:val="continue"/>
            <w:tcBorders>
              <w:left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8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效益指标</w:t>
            </w:r>
          </w:p>
        </w:tc>
        <w:tc>
          <w:tcPr>
            <w:tcW w:w="130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社会效益</w:t>
            </w:r>
          </w:p>
        </w:tc>
        <w:tc>
          <w:tcPr>
            <w:tcW w:w="2017"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ascii="宋体" w:hAnsi="宋体"/>
                <w:color w:val="auto"/>
                <w:sz w:val="20"/>
              </w:rPr>
              <w:t>受益群众</w:t>
            </w:r>
          </w:p>
        </w:tc>
        <w:tc>
          <w:tcPr>
            <w:tcW w:w="2133"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ascii="宋体" w:hAnsi="宋体"/>
                <w:color w:val="auto"/>
                <w:sz w:val="20"/>
              </w:rPr>
              <w:t>10万人</w:t>
            </w:r>
          </w:p>
        </w:tc>
        <w:tc>
          <w:tcPr>
            <w:tcW w:w="154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10万人以上</w:t>
            </w:r>
          </w:p>
        </w:tc>
      </w:tr>
      <w:tr>
        <w:tblPrEx>
          <w:tblLayout w:type="fixed"/>
          <w:tblCellMar>
            <w:top w:w="0" w:type="dxa"/>
            <w:left w:w="0" w:type="dxa"/>
            <w:bottom w:w="0" w:type="dxa"/>
            <w:right w:w="0" w:type="dxa"/>
          </w:tblCellMar>
        </w:tblPrEx>
        <w:trPr>
          <w:gridAfter w:val="1"/>
          <w:wAfter w:w="269" w:type="dxa"/>
          <w:trHeight w:val="452" w:hRule="atLeast"/>
        </w:trPr>
        <w:tc>
          <w:tcPr>
            <w:tcW w:w="1086" w:type="dxa"/>
            <w:gridSpan w:val="2"/>
            <w:vMerge w:val="continue"/>
            <w:tcBorders>
              <w:left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8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kern w:val="0"/>
                <w:sz w:val="24"/>
              </w:rPr>
            </w:pPr>
            <w:r>
              <w:rPr>
                <w:rFonts w:hint="eastAsia" w:ascii="宋体" w:hAnsi="宋体" w:cs="宋体"/>
                <w:color w:val="auto"/>
                <w:kern w:val="0"/>
                <w:sz w:val="24"/>
              </w:rPr>
              <w:t>效益指标</w:t>
            </w:r>
          </w:p>
        </w:tc>
        <w:tc>
          <w:tcPr>
            <w:tcW w:w="130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可持续影响</w:t>
            </w:r>
          </w:p>
        </w:tc>
        <w:tc>
          <w:tcPr>
            <w:tcW w:w="2017"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ascii="宋体" w:hAnsi="宋体"/>
                <w:color w:val="auto"/>
                <w:sz w:val="20"/>
              </w:rPr>
              <w:t>村道使用年限</w:t>
            </w:r>
          </w:p>
        </w:tc>
        <w:tc>
          <w:tcPr>
            <w:tcW w:w="2133"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ascii="宋体" w:hAnsi="宋体"/>
                <w:color w:val="auto"/>
                <w:sz w:val="20"/>
              </w:rPr>
              <w:t>平均在6年以上</w:t>
            </w:r>
          </w:p>
        </w:tc>
        <w:tc>
          <w:tcPr>
            <w:tcW w:w="154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合格</w:t>
            </w:r>
          </w:p>
        </w:tc>
      </w:tr>
      <w:tr>
        <w:tblPrEx>
          <w:tblLayout w:type="fixed"/>
          <w:tblCellMar>
            <w:top w:w="0" w:type="dxa"/>
            <w:left w:w="0" w:type="dxa"/>
            <w:bottom w:w="0" w:type="dxa"/>
            <w:right w:w="0" w:type="dxa"/>
          </w:tblCellMar>
        </w:tblPrEx>
        <w:trPr>
          <w:gridAfter w:val="1"/>
          <w:wAfter w:w="269" w:type="dxa"/>
          <w:trHeight w:val="648" w:hRule="atLeast"/>
        </w:trPr>
        <w:tc>
          <w:tcPr>
            <w:tcW w:w="1086" w:type="dxa"/>
            <w:gridSpan w:val="2"/>
            <w:vMerge w:val="continue"/>
            <w:tcBorders>
              <w:left w:val="single" w:color="000000" w:sz="4" w:space="0"/>
              <w:bottom w:val="single" w:color="000000" w:sz="4" w:space="0"/>
              <w:right w:val="single" w:color="000000" w:sz="4" w:space="0"/>
            </w:tcBorders>
            <w:noWrap/>
            <w:vAlign w:val="center"/>
          </w:tcPr>
          <w:p>
            <w:pPr>
              <w:pageBreakBefore w:val="0"/>
              <w:widowControl/>
              <w:kinsoku/>
              <w:wordWrap/>
              <w:overflowPunct/>
              <w:topLinePunct w:val="0"/>
              <w:bidi w:val="0"/>
              <w:adjustRightInd w:val="0"/>
              <w:snapToGrid w:val="0"/>
              <w:spacing w:line="560" w:lineRule="exact"/>
              <w:jc w:val="left"/>
              <w:rPr>
                <w:rFonts w:ascii="宋体" w:hAnsi="宋体" w:cs="宋体"/>
                <w:color w:val="auto"/>
                <w:sz w:val="24"/>
              </w:rPr>
            </w:pPr>
          </w:p>
        </w:tc>
        <w:tc>
          <w:tcPr>
            <w:tcW w:w="1883"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满意度指标</w:t>
            </w:r>
          </w:p>
        </w:tc>
        <w:tc>
          <w:tcPr>
            <w:tcW w:w="1300" w:type="dxa"/>
            <w:gridSpan w:val="3"/>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满意指标</w:t>
            </w:r>
          </w:p>
        </w:tc>
        <w:tc>
          <w:tcPr>
            <w:tcW w:w="2017" w:type="dxa"/>
            <w:gridSpan w:val="2"/>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left"/>
              <w:textAlignment w:val="center"/>
              <w:rPr>
                <w:rFonts w:ascii="宋体" w:hAnsi="宋体" w:cs="宋体"/>
                <w:color w:val="auto"/>
                <w:sz w:val="24"/>
              </w:rPr>
            </w:pPr>
            <w:r>
              <w:rPr>
                <w:rFonts w:hint="eastAsia" w:ascii="宋体" w:hAnsi="宋体"/>
                <w:color w:val="auto"/>
                <w:sz w:val="20"/>
              </w:rPr>
              <w:t>基层干部、</w:t>
            </w:r>
            <w:r>
              <w:rPr>
                <w:rFonts w:ascii="宋体" w:hAnsi="宋体"/>
                <w:color w:val="auto"/>
                <w:sz w:val="20"/>
              </w:rPr>
              <w:t>群众满意度</w:t>
            </w:r>
          </w:p>
        </w:tc>
        <w:tc>
          <w:tcPr>
            <w:tcW w:w="2133" w:type="dxa"/>
            <w:gridSpan w:val="4"/>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kinsoku/>
              <w:wordWrap/>
              <w:overflowPunct/>
              <w:topLinePunct w:val="0"/>
              <w:autoSpaceDN w:val="0"/>
              <w:bidi w:val="0"/>
              <w:adjustRightInd w:val="0"/>
              <w:snapToGrid w:val="0"/>
              <w:spacing w:line="560" w:lineRule="exact"/>
              <w:jc w:val="center"/>
              <w:textAlignment w:val="center"/>
              <w:rPr>
                <w:rFonts w:ascii="宋体" w:hAnsi="宋体" w:cs="宋体"/>
                <w:color w:val="auto"/>
                <w:sz w:val="24"/>
              </w:rPr>
            </w:pPr>
            <w:r>
              <w:rPr>
                <w:rFonts w:ascii="宋体" w:hAnsi="宋体"/>
                <w:color w:val="auto"/>
                <w:sz w:val="20"/>
              </w:rPr>
              <w:t>95%</w:t>
            </w:r>
          </w:p>
        </w:tc>
        <w:tc>
          <w:tcPr>
            <w:tcW w:w="1541" w:type="dxa"/>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97%</w:t>
            </w:r>
          </w:p>
        </w:tc>
      </w:tr>
    </w:tbl>
    <w:p>
      <w:pPr>
        <w:pageBreakBefore w:val="0"/>
        <w:kinsoku/>
        <w:wordWrap/>
        <w:overflowPunct/>
        <w:topLinePunct w:val="0"/>
        <w:bidi w:val="0"/>
        <w:adjustRightInd w:val="0"/>
        <w:snapToGrid w:val="0"/>
        <w:spacing w:line="560" w:lineRule="exact"/>
        <w:rPr>
          <w:rFonts w:ascii="仿宋_GB2312" w:hAnsi="仿宋_GB2312" w:cs="仿宋_GB2312"/>
          <w:color w:val="auto"/>
          <w:szCs w:val="32"/>
        </w:rPr>
      </w:pPr>
    </w:p>
    <w:tbl>
      <w:tblPr>
        <w:tblStyle w:val="9"/>
        <w:tblpPr w:leftFromText="180" w:rightFromText="180" w:vertAnchor="text" w:horzAnchor="page" w:tblpXSpec="center" w:tblpY="423"/>
        <w:tblOverlap w:val="never"/>
        <w:tblW w:w="9371" w:type="dxa"/>
        <w:jc w:val="center"/>
        <w:tblInd w:w="0" w:type="dxa"/>
        <w:tblLayout w:type="fixed"/>
        <w:tblCellMar>
          <w:top w:w="0" w:type="dxa"/>
          <w:left w:w="0" w:type="dxa"/>
          <w:bottom w:w="0" w:type="dxa"/>
          <w:right w:w="0" w:type="dxa"/>
        </w:tblCellMar>
      </w:tblPr>
      <w:tblGrid>
        <w:gridCol w:w="384"/>
        <w:gridCol w:w="2003"/>
        <w:gridCol w:w="1257"/>
        <w:gridCol w:w="1450"/>
        <w:gridCol w:w="2009"/>
        <w:gridCol w:w="2268"/>
      </w:tblGrid>
      <w:tr>
        <w:tblPrEx>
          <w:tblLayout w:type="fixed"/>
          <w:tblCellMar>
            <w:top w:w="0" w:type="dxa"/>
            <w:left w:w="0" w:type="dxa"/>
            <w:bottom w:w="0" w:type="dxa"/>
            <w:right w:w="0" w:type="dxa"/>
          </w:tblCellMar>
        </w:tblPrEx>
        <w:trPr>
          <w:trHeight w:val="1185" w:hRule="atLeast"/>
          <w:jc w:val="center"/>
        </w:trPr>
        <w:tc>
          <w:tcPr>
            <w:tcW w:w="9371" w:type="dxa"/>
            <w:gridSpan w:val="6"/>
            <w:tcBorders>
              <w:top w:val="nil"/>
              <w:left w:val="nil"/>
              <w:bottom w:val="nil"/>
              <w:right w:val="nil"/>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36"/>
                <w:szCs w:val="36"/>
              </w:rPr>
            </w:pPr>
            <w:r>
              <w:rPr>
                <w:rFonts w:hint="eastAsia" w:ascii="宋体" w:hAnsi="宋体" w:cs="宋体"/>
                <w:b/>
                <w:bCs/>
                <w:color w:val="auto"/>
                <w:kern w:val="0"/>
                <w:sz w:val="36"/>
                <w:szCs w:val="36"/>
              </w:rPr>
              <w:t>项目绩效目标完成情况表</w:t>
            </w:r>
            <w:r>
              <w:rPr>
                <w:rFonts w:hint="eastAsia" w:ascii="宋体" w:hAnsi="宋体" w:cs="宋体"/>
                <w:b/>
                <w:bCs/>
                <w:color w:val="auto"/>
                <w:kern w:val="0"/>
                <w:sz w:val="36"/>
                <w:szCs w:val="36"/>
              </w:rPr>
              <w:br w:type="textWrapping"/>
            </w:r>
            <w:r>
              <w:rPr>
                <w:rFonts w:hint="eastAsia" w:ascii="宋体" w:hAnsi="宋体" w:cs="宋体"/>
                <w:color w:val="auto"/>
                <w:kern w:val="0"/>
                <w:sz w:val="36"/>
                <w:szCs w:val="36"/>
              </w:rPr>
              <w:t>(2020 年度)</w:t>
            </w:r>
          </w:p>
        </w:tc>
      </w:tr>
      <w:tr>
        <w:tblPrEx>
          <w:tblLayout w:type="fixed"/>
          <w:tblCellMar>
            <w:top w:w="0" w:type="dxa"/>
            <w:left w:w="0" w:type="dxa"/>
            <w:bottom w:w="0" w:type="dxa"/>
            <w:right w:w="0" w:type="dxa"/>
          </w:tblCellMar>
        </w:tblPrEx>
        <w:trPr>
          <w:trHeight w:val="316" w:hRule="atLeast"/>
          <w:jc w:val="center"/>
        </w:trPr>
        <w:tc>
          <w:tcPr>
            <w:tcW w:w="3644"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项目名称</w:t>
            </w:r>
          </w:p>
        </w:tc>
        <w:tc>
          <w:tcPr>
            <w:tcW w:w="5727"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交通运输安全监管及应急演练专项经费</w:t>
            </w:r>
          </w:p>
        </w:tc>
      </w:tr>
      <w:tr>
        <w:tblPrEx>
          <w:tblLayout w:type="fixed"/>
          <w:tblCellMar>
            <w:top w:w="0" w:type="dxa"/>
            <w:left w:w="0" w:type="dxa"/>
            <w:bottom w:w="0" w:type="dxa"/>
            <w:right w:w="0" w:type="dxa"/>
          </w:tblCellMar>
        </w:tblPrEx>
        <w:trPr>
          <w:trHeight w:val="316" w:hRule="atLeast"/>
          <w:jc w:val="center"/>
        </w:trPr>
        <w:tc>
          <w:tcPr>
            <w:tcW w:w="3644"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预算单位</w:t>
            </w:r>
          </w:p>
        </w:tc>
        <w:tc>
          <w:tcPr>
            <w:tcW w:w="5727"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自贡市贡井区交通运输局</w:t>
            </w:r>
          </w:p>
        </w:tc>
      </w:tr>
      <w:tr>
        <w:tblPrEx>
          <w:tblLayout w:type="fixed"/>
          <w:tblCellMar>
            <w:top w:w="0" w:type="dxa"/>
            <w:left w:w="0" w:type="dxa"/>
            <w:bottom w:w="0" w:type="dxa"/>
            <w:right w:w="0" w:type="dxa"/>
          </w:tblCellMar>
        </w:tblPrEx>
        <w:trPr>
          <w:trHeight w:val="316" w:hRule="atLeast"/>
          <w:jc w:val="center"/>
        </w:trPr>
        <w:tc>
          <w:tcPr>
            <w:tcW w:w="384"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预算执行情况(万元)</w:t>
            </w:r>
          </w:p>
        </w:tc>
        <w:tc>
          <w:tcPr>
            <w:tcW w:w="3260"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预算数:</w:t>
            </w:r>
          </w:p>
        </w:tc>
        <w:tc>
          <w:tcPr>
            <w:tcW w:w="1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10.89</w:t>
            </w:r>
          </w:p>
        </w:tc>
        <w:tc>
          <w:tcPr>
            <w:tcW w:w="20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执行数:</w:t>
            </w:r>
          </w:p>
        </w:tc>
        <w:tc>
          <w:tcPr>
            <w:tcW w:w="22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5.56</w:t>
            </w:r>
          </w:p>
        </w:tc>
      </w:tr>
      <w:tr>
        <w:tblPrEx>
          <w:tblLayout w:type="fixed"/>
          <w:tblCellMar>
            <w:top w:w="0" w:type="dxa"/>
            <w:left w:w="0" w:type="dxa"/>
            <w:bottom w:w="0" w:type="dxa"/>
            <w:right w:w="0" w:type="dxa"/>
          </w:tblCellMar>
        </w:tblPrEx>
        <w:trPr>
          <w:trHeight w:val="316" w:hRule="atLeast"/>
          <w:jc w:val="center"/>
        </w:trPr>
        <w:tc>
          <w:tcPr>
            <w:tcW w:w="38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kinsoku/>
              <w:wordWrap/>
              <w:overflowPunct/>
              <w:topLinePunct w:val="0"/>
              <w:bidi w:val="0"/>
              <w:adjustRightInd w:val="0"/>
              <w:snapToGrid w:val="0"/>
              <w:spacing w:line="560" w:lineRule="exact"/>
              <w:jc w:val="center"/>
              <w:rPr>
                <w:rFonts w:ascii="宋体" w:hAnsi="宋体" w:cs="宋体"/>
                <w:color w:val="auto"/>
                <w:sz w:val="24"/>
              </w:rPr>
            </w:pPr>
          </w:p>
        </w:tc>
        <w:tc>
          <w:tcPr>
            <w:tcW w:w="3260"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其中-财政拨款:</w:t>
            </w:r>
          </w:p>
        </w:tc>
        <w:tc>
          <w:tcPr>
            <w:tcW w:w="1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10.89</w:t>
            </w:r>
          </w:p>
        </w:tc>
        <w:tc>
          <w:tcPr>
            <w:tcW w:w="20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其中-财政拨款:</w:t>
            </w:r>
          </w:p>
        </w:tc>
        <w:tc>
          <w:tcPr>
            <w:tcW w:w="22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5.56</w:t>
            </w:r>
          </w:p>
        </w:tc>
      </w:tr>
      <w:tr>
        <w:tblPrEx>
          <w:tblLayout w:type="fixed"/>
          <w:tblCellMar>
            <w:top w:w="0" w:type="dxa"/>
            <w:left w:w="0" w:type="dxa"/>
            <w:bottom w:w="0" w:type="dxa"/>
            <w:right w:w="0" w:type="dxa"/>
          </w:tblCellMar>
        </w:tblPrEx>
        <w:trPr>
          <w:trHeight w:val="3605" w:hRule="atLeast"/>
          <w:jc w:val="center"/>
        </w:trPr>
        <w:tc>
          <w:tcPr>
            <w:tcW w:w="38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kinsoku/>
              <w:wordWrap/>
              <w:overflowPunct/>
              <w:topLinePunct w:val="0"/>
              <w:bidi w:val="0"/>
              <w:adjustRightInd w:val="0"/>
              <w:snapToGrid w:val="0"/>
              <w:spacing w:line="560" w:lineRule="exact"/>
              <w:jc w:val="center"/>
              <w:rPr>
                <w:rFonts w:ascii="宋体" w:hAnsi="宋体" w:cs="宋体"/>
                <w:color w:val="auto"/>
                <w:sz w:val="24"/>
              </w:rPr>
            </w:pPr>
          </w:p>
        </w:tc>
        <w:tc>
          <w:tcPr>
            <w:tcW w:w="3260"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其它资金:</w:t>
            </w:r>
          </w:p>
        </w:tc>
        <w:tc>
          <w:tcPr>
            <w:tcW w:w="1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p>
        </w:tc>
        <w:tc>
          <w:tcPr>
            <w:tcW w:w="20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其它资金:</w:t>
            </w:r>
          </w:p>
        </w:tc>
        <w:tc>
          <w:tcPr>
            <w:tcW w:w="22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kinsoku/>
              <w:wordWrap/>
              <w:overflowPunct/>
              <w:topLinePunct w:val="0"/>
              <w:bidi w:val="0"/>
              <w:adjustRightInd w:val="0"/>
              <w:snapToGrid w:val="0"/>
              <w:spacing w:line="560" w:lineRule="exact"/>
              <w:jc w:val="center"/>
              <w:rPr>
                <w:rFonts w:ascii="宋体" w:hAnsi="宋体" w:cs="宋体"/>
                <w:color w:val="auto"/>
                <w:sz w:val="24"/>
              </w:rPr>
            </w:pPr>
          </w:p>
        </w:tc>
      </w:tr>
      <w:tr>
        <w:tblPrEx>
          <w:tblLayout w:type="fixed"/>
          <w:tblCellMar>
            <w:top w:w="0" w:type="dxa"/>
            <w:left w:w="0" w:type="dxa"/>
            <w:bottom w:w="0" w:type="dxa"/>
            <w:right w:w="0" w:type="dxa"/>
          </w:tblCellMar>
        </w:tblPrEx>
        <w:trPr>
          <w:trHeight w:val="316" w:hRule="atLeast"/>
          <w:jc w:val="center"/>
        </w:trPr>
        <w:tc>
          <w:tcPr>
            <w:tcW w:w="384"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年度目标完成情况</w:t>
            </w:r>
          </w:p>
        </w:tc>
        <w:tc>
          <w:tcPr>
            <w:tcW w:w="4710"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预期目标</w:t>
            </w:r>
          </w:p>
        </w:tc>
        <w:tc>
          <w:tcPr>
            <w:tcW w:w="427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实际完成目标</w:t>
            </w:r>
          </w:p>
        </w:tc>
      </w:tr>
      <w:tr>
        <w:tblPrEx>
          <w:tblLayout w:type="fixed"/>
          <w:tblCellMar>
            <w:top w:w="0" w:type="dxa"/>
            <w:left w:w="0" w:type="dxa"/>
            <w:bottom w:w="0" w:type="dxa"/>
            <w:right w:w="0" w:type="dxa"/>
          </w:tblCellMar>
        </w:tblPrEx>
        <w:trPr>
          <w:trHeight w:val="1328" w:hRule="atLeast"/>
          <w:jc w:val="center"/>
        </w:trPr>
        <w:tc>
          <w:tcPr>
            <w:tcW w:w="38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kinsoku/>
              <w:wordWrap/>
              <w:overflowPunct/>
              <w:topLinePunct w:val="0"/>
              <w:bidi w:val="0"/>
              <w:adjustRightInd w:val="0"/>
              <w:snapToGrid w:val="0"/>
              <w:spacing w:line="560" w:lineRule="exact"/>
              <w:jc w:val="center"/>
              <w:rPr>
                <w:rFonts w:ascii="宋体" w:hAnsi="宋体" w:cs="宋体"/>
                <w:color w:val="auto"/>
                <w:sz w:val="24"/>
              </w:rPr>
            </w:pPr>
          </w:p>
        </w:tc>
        <w:tc>
          <w:tcPr>
            <w:tcW w:w="4710"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ascii="宋体" w:hAnsi="宋体" w:cs="宋体"/>
                <w:color w:val="auto"/>
                <w:sz w:val="24"/>
              </w:rPr>
              <w:t>加强安全监管，实现交通安全零事故；强化培训，规范安全日常管控；开展应急演练，提高应急抢险能力。</w:t>
            </w:r>
          </w:p>
        </w:tc>
        <w:tc>
          <w:tcPr>
            <w:tcW w:w="427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以道路运输、工程建设领域为重点，强化隐患排查整治，全年未发生较大以上安全生产责任事故。</w:t>
            </w:r>
          </w:p>
        </w:tc>
      </w:tr>
      <w:tr>
        <w:tblPrEx>
          <w:tblLayout w:type="fixed"/>
          <w:tblCellMar>
            <w:top w:w="0" w:type="dxa"/>
            <w:left w:w="0" w:type="dxa"/>
            <w:bottom w:w="0" w:type="dxa"/>
            <w:right w:w="0" w:type="dxa"/>
          </w:tblCellMar>
        </w:tblPrEx>
        <w:trPr>
          <w:trHeight w:val="685" w:hRule="atLeast"/>
          <w:jc w:val="center"/>
        </w:trPr>
        <w:tc>
          <w:tcPr>
            <w:tcW w:w="384"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绩效指标完成情况</w:t>
            </w:r>
          </w:p>
        </w:tc>
        <w:tc>
          <w:tcPr>
            <w:tcW w:w="20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一级指标</w:t>
            </w:r>
          </w:p>
        </w:tc>
        <w:tc>
          <w:tcPr>
            <w:tcW w:w="12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二级指标</w:t>
            </w:r>
          </w:p>
        </w:tc>
        <w:tc>
          <w:tcPr>
            <w:tcW w:w="1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三级指标</w:t>
            </w:r>
          </w:p>
        </w:tc>
        <w:tc>
          <w:tcPr>
            <w:tcW w:w="20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预期指标值(包含数字及文字描述)</w:t>
            </w:r>
          </w:p>
        </w:tc>
        <w:tc>
          <w:tcPr>
            <w:tcW w:w="22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实际完成指标值(包含数字及文字描述)</w:t>
            </w:r>
          </w:p>
        </w:tc>
      </w:tr>
      <w:tr>
        <w:tblPrEx>
          <w:tblLayout w:type="fixed"/>
          <w:tblCellMar>
            <w:top w:w="0" w:type="dxa"/>
            <w:left w:w="0" w:type="dxa"/>
            <w:bottom w:w="0" w:type="dxa"/>
            <w:right w:w="0" w:type="dxa"/>
          </w:tblCellMar>
        </w:tblPrEx>
        <w:trPr>
          <w:trHeight w:val="451" w:hRule="atLeast"/>
          <w:jc w:val="center"/>
        </w:trPr>
        <w:tc>
          <w:tcPr>
            <w:tcW w:w="384" w:type="dxa"/>
            <w:vMerge w:val="continue"/>
            <w:tcBorders>
              <w:left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p>
        </w:tc>
        <w:tc>
          <w:tcPr>
            <w:tcW w:w="20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项目完成指标</w:t>
            </w:r>
          </w:p>
        </w:tc>
        <w:tc>
          <w:tcPr>
            <w:tcW w:w="12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kern w:val="0"/>
                <w:sz w:val="24"/>
              </w:rPr>
            </w:pPr>
            <w:r>
              <w:rPr>
                <w:rFonts w:hint="eastAsia" w:ascii="宋体" w:hAnsi="宋体" w:cs="宋体"/>
                <w:color w:val="auto"/>
                <w:kern w:val="0"/>
                <w:sz w:val="24"/>
              </w:rPr>
              <w:t>数量指标</w:t>
            </w:r>
          </w:p>
        </w:tc>
        <w:tc>
          <w:tcPr>
            <w:tcW w:w="1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kern w:val="0"/>
                <w:sz w:val="24"/>
              </w:rPr>
            </w:pPr>
            <w:r>
              <w:rPr>
                <w:rFonts w:hint="eastAsia" w:ascii="宋体" w:hAnsi="宋体" w:cs="宋体"/>
                <w:color w:val="auto"/>
                <w:kern w:val="0"/>
                <w:sz w:val="24"/>
              </w:rPr>
              <w:t>安全监管执法</w:t>
            </w:r>
          </w:p>
        </w:tc>
        <w:tc>
          <w:tcPr>
            <w:tcW w:w="20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kern w:val="0"/>
                <w:sz w:val="24"/>
              </w:rPr>
            </w:pPr>
            <w:r>
              <w:rPr>
                <w:rFonts w:hint="eastAsia" w:ascii="宋体" w:hAnsi="宋体" w:cs="宋体"/>
                <w:color w:val="auto"/>
                <w:kern w:val="0"/>
                <w:sz w:val="24"/>
              </w:rPr>
              <w:t>100人次</w:t>
            </w:r>
          </w:p>
        </w:tc>
        <w:tc>
          <w:tcPr>
            <w:tcW w:w="22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kern w:val="0"/>
                <w:sz w:val="24"/>
              </w:rPr>
            </w:pPr>
            <w:r>
              <w:rPr>
                <w:rFonts w:hint="eastAsia" w:ascii="宋体" w:hAnsi="宋体" w:cs="宋体"/>
                <w:color w:val="auto"/>
                <w:kern w:val="0"/>
                <w:sz w:val="24"/>
              </w:rPr>
              <w:t>100%</w:t>
            </w:r>
          </w:p>
        </w:tc>
      </w:tr>
      <w:tr>
        <w:tblPrEx>
          <w:tblLayout w:type="fixed"/>
          <w:tblCellMar>
            <w:top w:w="0" w:type="dxa"/>
            <w:left w:w="0" w:type="dxa"/>
            <w:bottom w:w="0" w:type="dxa"/>
            <w:right w:w="0" w:type="dxa"/>
          </w:tblCellMar>
        </w:tblPrEx>
        <w:trPr>
          <w:trHeight w:val="464" w:hRule="atLeast"/>
          <w:jc w:val="center"/>
        </w:trPr>
        <w:tc>
          <w:tcPr>
            <w:tcW w:w="384" w:type="dxa"/>
            <w:vMerge w:val="continue"/>
            <w:tcBorders>
              <w:left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p>
        </w:tc>
        <w:tc>
          <w:tcPr>
            <w:tcW w:w="20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项目完成指标</w:t>
            </w:r>
          </w:p>
        </w:tc>
        <w:tc>
          <w:tcPr>
            <w:tcW w:w="12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kern w:val="0"/>
                <w:sz w:val="24"/>
              </w:rPr>
            </w:pPr>
            <w:r>
              <w:rPr>
                <w:rFonts w:hint="eastAsia" w:ascii="宋体" w:hAnsi="宋体" w:cs="宋体"/>
                <w:color w:val="auto"/>
                <w:kern w:val="0"/>
                <w:sz w:val="24"/>
              </w:rPr>
              <w:t>数量指标</w:t>
            </w:r>
          </w:p>
        </w:tc>
        <w:tc>
          <w:tcPr>
            <w:tcW w:w="1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kern w:val="0"/>
                <w:sz w:val="24"/>
              </w:rPr>
            </w:pPr>
            <w:r>
              <w:rPr>
                <w:rFonts w:hint="eastAsia" w:ascii="宋体" w:hAnsi="宋体" w:cs="宋体"/>
                <w:color w:val="auto"/>
                <w:kern w:val="0"/>
                <w:sz w:val="24"/>
              </w:rPr>
              <w:t>安全培训</w:t>
            </w:r>
          </w:p>
        </w:tc>
        <w:tc>
          <w:tcPr>
            <w:tcW w:w="20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kern w:val="0"/>
                <w:sz w:val="24"/>
              </w:rPr>
            </w:pPr>
            <w:r>
              <w:rPr>
                <w:rFonts w:hint="eastAsia" w:ascii="宋体" w:hAnsi="宋体" w:cs="宋体"/>
                <w:color w:val="auto"/>
                <w:kern w:val="0"/>
                <w:sz w:val="24"/>
              </w:rPr>
              <w:t>2次</w:t>
            </w:r>
          </w:p>
        </w:tc>
        <w:tc>
          <w:tcPr>
            <w:tcW w:w="22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kern w:val="0"/>
                <w:sz w:val="24"/>
              </w:rPr>
            </w:pPr>
            <w:r>
              <w:rPr>
                <w:rFonts w:hint="eastAsia" w:ascii="宋体" w:hAnsi="宋体" w:cs="宋体"/>
                <w:color w:val="auto"/>
                <w:kern w:val="0"/>
                <w:sz w:val="24"/>
              </w:rPr>
              <w:t>4次</w:t>
            </w:r>
          </w:p>
        </w:tc>
      </w:tr>
      <w:tr>
        <w:tblPrEx>
          <w:tblLayout w:type="fixed"/>
          <w:tblCellMar>
            <w:top w:w="0" w:type="dxa"/>
            <w:left w:w="0" w:type="dxa"/>
            <w:bottom w:w="0" w:type="dxa"/>
            <w:right w:w="0" w:type="dxa"/>
          </w:tblCellMar>
        </w:tblPrEx>
        <w:trPr>
          <w:trHeight w:val="456" w:hRule="atLeast"/>
          <w:jc w:val="center"/>
        </w:trPr>
        <w:tc>
          <w:tcPr>
            <w:tcW w:w="384" w:type="dxa"/>
            <w:vMerge w:val="continue"/>
            <w:tcBorders>
              <w:left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p>
        </w:tc>
        <w:tc>
          <w:tcPr>
            <w:tcW w:w="20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项目完成指标</w:t>
            </w:r>
          </w:p>
        </w:tc>
        <w:tc>
          <w:tcPr>
            <w:tcW w:w="12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kern w:val="0"/>
                <w:sz w:val="24"/>
              </w:rPr>
            </w:pPr>
            <w:r>
              <w:rPr>
                <w:rFonts w:hint="eastAsia" w:ascii="宋体" w:hAnsi="宋体" w:cs="宋体"/>
                <w:color w:val="auto"/>
                <w:kern w:val="0"/>
                <w:sz w:val="24"/>
              </w:rPr>
              <w:t>质量指标</w:t>
            </w:r>
          </w:p>
        </w:tc>
        <w:tc>
          <w:tcPr>
            <w:tcW w:w="1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kern w:val="0"/>
                <w:sz w:val="24"/>
              </w:rPr>
            </w:pPr>
            <w:r>
              <w:rPr>
                <w:rFonts w:hint="eastAsia" w:ascii="宋体" w:hAnsi="宋体" w:cs="宋体"/>
                <w:color w:val="auto"/>
                <w:kern w:val="0"/>
                <w:sz w:val="24"/>
              </w:rPr>
              <w:t>日常监督管理</w:t>
            </w:r>
          </w:p>
        </w:tc>
        <w:tc>
          <w:tcPr>
            <w:tcW w:w="20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kern w:val="0"/>
                <w:sz w:val="24"/>
              </w:rPr>
            </w:pPr>
            <w:r>
              <w:rPr>
                <w:rFonts w:hint="eastAsia" w:ascii="宋体" w:hAnsi="宋体" w:cs="宋体"/>
                <w:color w:val="auto"/>
                <w:kern w:val="0"/>
                <w:sz w:val="24"/>
              </w:rPr>
              <w:t>安全管理规范、责任到位。</w:t>
            </w:r>
          </w:p>
        </w:tc>
        <w:tc>
          <w:tcPr>
            <w:tcW w:w="22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kern w:val="0"/>
                <w:sz w:val="24"/>
              </w:rPr>
            </w:pPr>
            <w:r>
              <w:rPr>
                <w:rFonts w:hint="eastAsia" w:ascii="宋体" w:hAnsi="宋体" w:cs="宋体"/>
                <w:color w:val="auto"/>
                <w:kern w:val="0"/>
                <w:sz w:val="24"/>
              </w:rPr>
              <w:t>管理规范，责任落实到位</w:t>
            </w:r>
          </w:p>
        </w:tc>
      </w:tr>
      <w:tr>
        <w:tblPrEx>
          <w:tblLayout w:type="fixed"/>
          <w:tblCellMar>
            <w:top w:w="0" w:type="dxa"/>
            <w:left w:w="0" w:type="dxa"/>
            <w:bottom w:w="0" w:type="dxa"/>
            <w:right w:w="0" w:type="dxa"/>
          </w:tblCellMar>
        </w:tblPrEx>
        <w:trPr>
          <w:trHeight w:val="464" w:hRule="atLeast"/>
          <w:jc w:val="center"/>
        </w:trPr>
        <w:tc>
          <w:tcPr>
            <w:tcW w:w="384" w:type="dxa"/>
            <w:vMerge w:val="continue"/>
            <w:tcBorders>
              <w:left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p>
        </w:tc>
        <w:tc>
          <w:tcPr>
            <w:tcW w:w="20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kern w:val="0"/>
                <w:sz w:val="24"/>
              </w:rPr>
            </w:pPr>
            <w:r>
              <w:rPr>
                <w:rFonts w:hint="eastAsia" w:ascii="宋体" w:hAnsi="宋体" w:cs="宋体"/>
                <w:color w:val="auto"/>
                <w:kern w:val="0"/>
                <w:sz w:val="24"/>
              </w:rPr>
              <w:t>项目完成指标</w:t>
            </w:r>
          </w:p>
        </w:tc>
        <w:tc>
          <w:tcPr>
            <w:tcW w:w="12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时效指标</w:t>
            </w:r>
          </w:p>
        </w:tc>
        <w:tc>
          <w:tcPr>
            <w:tcW w:w="1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年度考核</w:t>
            </w:r>
          </w:p>
        </w:tc>
        <w:tc>
          <w:tcPr>
            <w:tcW w:w="20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2020年12月</w:t>
            </w:r>
          </w:p>
        </w:tc>
        <w:tc>
          <w:tcPr>
            <w:tcW w:w="22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2020年12月</w:t>
            </w:r>
          </w:p>
        </w:tc>
      </w:tr>
      <w:tr>
        <w:tblPrEx>
          <w:tblLayout w:type="fixed"/>
          <w:tblCellMar>
            <w:top w:w="0" w:type="dxa"/>
            <w:left w:w="0" w:type="dxa"/>
            <w:bottom w:w="0" w:type="dxa"/>
            <w:right w:w="0" w:type="dxa"/>
          </w:tblCellMar>
        </w:tblPrEx>
        <w:trPr>
          <w:trHeight w:val="454" w:hRule="atLeast"/>
          <w:jc w:val="center"/>
        </w:trPr>
        <w:tc>
          <w:tcPr>
            <w:tcW w:w="384" w:type="dxa"/>
            <w:vMerge w:val="continue"/>
            <w:tcBorders>
              <w:left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p>
        </w:tc>
        <w:tc>
          <w:tcPr>
            <w:tcW w:w="20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效益指标</w:t>
            </w:r>
          </w:p>
        </w:tc>
        <w:tc>
          <w:tcPr>
            <w:tcW w:w="12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社会效益</w:t>
            </w:r>
          </w:p>
        </w:tc>
        <w:tc>
          <w:tcPr>
            <w:tcW w:w="1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受益群众</w:t>
            </w:r>
          </w:p>
        </w:tc>
        <w:tc>
          <w:tcPr>
            <w:tcW w:w="20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&gt;8000人</w:t>
            </w:r>
          </w:p>
        </w:tc>
        <w:tc>
          <w:tcPr>
            <w:tcW w:w="22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8000人</w:t>
            </w:r>
          </w:p>
        </w:tc>
      </w:tr>
      <w:tr>
        <w:tblPrEx>
          <w:tblLayout w:type="fixed"/>
          <w:tblCellMar>
            <w:top w:w="0" w:type="dxa"/>
            <w:left w:w="0" w:type="dxa"/>
            <w:bottom w:w="0" w:type="dxa"/>
            <w:right w:w="0" w:type="dxa"/>
          </w:tblCellMar>
        </w:tblPrEx>
        <w:trPr>
          <w:trHeight w:val="450" w:hRule="atLeast"/>
          <w:jc w:val="center"/>
        </w:trPr>
        <w:tc>
          <w:tcPr>
            <w:tcW w:w="384"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p>
        </w:tc>
        <w:tc>
          <w:tcPr>
            <w:tcW w:w="20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kern w:val="0"/>
                <w:sz w:val="24"/>
              </w:rPr>
              <w:t>满意度指标</w:t>
            </w:r>
          </w:p>
        </w:tc>
        <w:tc>
          <w:tcPr>
            <w:tcW w:w="125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满意指标</w:t>
            </w:r>
          </w:p>
        </w:tc>
        <w:tc>
          <w:tcPr>
            <w:tcW w:w="1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辖区群众满意度</w:t>
            </w:r>
          </w:p>
        </w:tc>
        <w:tc>
          <w:tcPr>
            <w:tcW w:w="20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&gt;90%</w:t>
            </w:r>
          </w:p>
        </w:tc>
        <w:tc>
          <w:tcPr>
            <w:tcW w:w="22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ageBreakBefore w:val="0"/>
              <w:widowControl/>
              <w:kinsoku/>
              <w:wordWrap/>
              <w:overflowPunct/>
              <w:topLinePunct w:val="0"/>
              <w:bidi w:val="0"/>
              <w:adjustRightInd w:val="0"/>
              <w:snapToGrid w:val="0"/>
              <w:spacing w:line="560" w:lineRule="exact"/>
              <w:jc w:val="center"/>
              <w:textAlignment w:val="center"/>
              <w:rPr>
                <w:rFonts w:ascii="宋体" w:hAnsi="宋体" w:cs="宋体"/>
                <w:color w:val="auto"/>
                <w:sz w:val="24"/>
              </w:rPr>
            </w:pPr>
            <w:r>
              <w:rPr>
                <w:rFonts w:hint="eastAsia" w:ascii="宋体" w:hAnsi="宋体" w:cs="宋体"/>
                <w:color w:val="auto"/>
                <w:sz w:val="24"/>
              </w:rPr>
              <w:t>96%</w:t>
            </w:r>
          </w:p>
        </w:tc>
      </w:tr>
    </w:tbl>
    <w:p>
      <w:pPr>
        <w:pageBreakBefore w:val="0"/>
        <w:kinsoku/>
        <w:wordWrap/>
        <w:overflowPunct/>
        <w:topLinePunct w:val="0"/>
        <w:bidi w:val="0"/>
        <w:adjustRightInd w:val="0"/>
        <w:snapToGrid w:val="0"/>
        <w:spacing w:line="560" w:lineRule="exact"/>
        <w:ind w:left="630"/>
        <w:rPr>
          <w:rFonts w:hint="eastAsia" w:ascii="仿宋_GB2312" w:hAnsi="仿宋_GB2312" w:eastAsia="仿宋_GB2312" w:cs="仿宋_GB2312"/>
          <w:b/>
          <w:bCs/>
          <w:color w:val="FF0000"/>
          <w:szCs w:val="32"/>
        </w:rPr>
      </w:pPr>
      <w:r>
        <w:rPr>
          <w:rFonts w:hint="eastAsia" w:ascii="仿宋_GB2312" w:hAnsi="仿宋_GB2312" w:eastAsia="仿宋_GB2312" w:cs="仿宋_GB2312"/>
          <w:b/>
          <w:bCs/>
          <w:color w:val="auto"/>
          <w:szCs w:val="32"/>
        </w:rPr>
        <w:t>2.部门绩效评价结果。</w:t>
      </w:r>
    </w:p>
    <w:p>
      <w:pPr>
        <w:pageBreakBefore w:val="0"/>
        <w:kinsoku/>
        <w:wordWrap/>
        <w:overflowPunct/>
        <w:topLinePunct w:val="0"/>
        <w:bidi w:val="0"/>
        <w:adjustRightInd w:val="0"/>
        <w:snapToGrid w:val="0"/>
        <w:spacing w:line="560" w:lineRule="exact"/>
        <w:ind w:firstLine="640" w:firstLineChars="200"/>
        <w:rPr>
          <w:rFonts w:ascii="仿宋_GB2312" w:hAnsi="仿宋_GB2312" w:cs="仿宋_GB2312"/>
          <w:color w:val="auto"/>
          <w:szCs w:val="32"/>
        </w:rPr>
      </w:pPr>
      <w:r>
        <w:rPr>
          <w:rFonts w:hint="eastAsia" w:ascii="仿宋_GB2312" w:hAnsi="仿宋_GB2312" w:cs="仿宋_GB2312"/>
          <w:color w:val="auto"/>
          <w:szCs w:val="32"/>
        </w:rPr>
        <w:t>本</w:t>
      </w:r>
      <w:r>
        <w:rPr>
          <w:rFonts w:hint="eastAsia" w:ascii="仿宋_GB2312" w:hAnsi="仿宋_GB2312" w:cs="仿宋_GB2312"/>
          <w:color w:val="auto"/>
          <w:szCs w:val="32"/>
          <w:lang w:eastAsia="zh-CN"/>
        </w:rPr>
        <w:t>单位</w:t>
      </w:r>
      <w:r>
        <w:rPr>
          <w:rFonts w:hint="eastAsia" w:ascii="仿宋_GB2312" w:hAnsi="仿宋_GB2312" w:cs="仿宋_GB2312"/>
          <w:color w:val="auto"/>
          <w:szCs w:val="32"/>
        </w:rPr>
        <w:t>按要求</w:t>
      </w:r>
      <w:r>
        <w:rPr>
          <w:rFonts w:hint="eastAsia" w:ascii="仿宋_GB2312" w:hAnsi="仿宋_GB2312" w:cs="仿宋_GB2312"/>
          <w:color w:val="auto"/>
          <w:szCs w:val="32"/>
          <w:lang w:eastAsia="zh-CN"/>
        </w:rPr>
        <w:t>未</w:t>
      </w:r>
      <w:r>
        <w:rPr>
          <w:rFonts w:hint="eastAsia" w:ascii="仿宋_GB2312" w:hAnsi="仿宋_GB2312" w:cs="仿宋_GB2312"/>
          <w:color w:val="auto"/>
          <w:szCs w:val="32"/>
        </w:rPr>
        <w:t>对</w:t>
      </w:r>
      <w:r>
        <w:rPr>
          <w:rFonts w:ascii="仿宋_GB2312" w:hAnsi="仿宋_GB2312" w:cs="仿宋_GB2312"/>
          <w:color w:val="auto"/>
          <w:szCs w:val="32"/>
        </w:rPr>
        <w:t>2020</w:t>
      </w:r>
      <w:r>
        <w:rPr>
          <w:rFonts w:hint="eastAsia" w:ascii="仿宋_GB2312" w:hAnsi="仿宋_GB2312" w:cs="仿宋_GB2312"/>
          <w:color w:val="auto"/>
          <w:szCs w:val="32"/>
        </w:rPr>
        <w:t>年部门整体支出绩效评价情况开展自评。</w:t>
      </w:r>
    </w:p>
    <w:p>
      <w:pPr>
        <w:pageBreakBefore w:val="0"/>
        <w:kinsoku/>
        <w:wordWrap/>
        <w:overflowPunct/>
        <w:topLinePunct w:val="0"/>
        <w:bidi w:val="0"/>
        <w:adjustRightInd w:val="0"/>
        <w:snapToGrid w:val="0"/>
        <w:spacing w:line="560" w:lineRule="exact"/>
        <w:ind w:firstLine="640" w:firstLineChars="200"/>
        <w:rPr>
          <w:rFonts w:hint="eastAsia" w:ascii="仿宋_GB2312" w:hAnsi="仿宋_GB2312" w:cs="仿宋_GB2312"/>
          <w:color w:val="auto"/>
          <w:szCs w:val="32"/>
        </w:rPr>
      </w:pPr>
      <w:r>
        <w:rPr>
          <w:rFonts w:hint="eastAsia" w:ascii="仿宋_GB2312" w:hAnsi="仿宋_GB2312" w:cs="仿宋_GB2312"/>
          <w:color w:val="auto"/>
          <w:szCs w:val="32"/>
        </w:rPr>
        <w:t>本部门自行组织对“乡村道路管养以奖代补”、“</w:t>
      </w:r>
      <w:r>
        <w:rPr>
          <w:rFonts w:hint="eastAsia" w:ascii="仿宋_GB2312" w:hAnsi="仿宋_GB2312" w:cs="仿宋_GB2312"/>
          <w:color w:val="auto"/>
          <w:szCs w:val="32"/>
          <w:lang w:eastAsia="zh-CN"/>
        </w:rPr>
        <w:t>交通环保工作专项经费</w:t>
      </w:r>
      <w:r>
        <w:rPr>
          <w:rFonts w:hint="eastAsia" w:ascii="仿宋_GB2312" w:hAnsi="仿宋_GB2312" w:cs="仿宋_GB2312"/>
          <w:color w:val="auto"/>
          <w:szCs w:val="32"/>
        </w:rPr>
        <w:t>”、“</w:t>
      </w:r>
      <w:r>
        <w:rPr>
          <w:rFonts w:hint="eastAsia" w:ascii="仿宋_GB2312" w:hAnsi="仿宋_GB2312" w:cs="仿宋_GB2312"/>
          <w:color w:val="auto"/>
          <w:szCs w:val="32"/>
          <w:lang w:eastAsia="zh-CN"/>
        </w:rPr>
        <w:t>乡</w:t>
      </w:r>
      <w:r>
        <w:rPr>
          <w:rFonts w:hint="eastAsia" w:ascii="仿宋_GB2312" w:hAnsi="仿宋_GB2312" w:cs="仿宋_GB2312"/>
          <w:color w:val="auto"/>
          <w:szCs w:val="32"/>
        </w:rPr>
        <w:t>道日常养护”“村道建设监督管理”、“交通运输安全监管及应急演练专项经费”项目开展了绩效评价，《乡村道路管养以奖代补项目2020年绩效评价报告》《</w:t>
      </w:r>
      <w:r>
        <w:rPr>
          <w:rFonts w:hint="eastAsia" w:ascii="仿宋_GB2312" w:hAnsi="仿宋_GB2312" w:cs="仿宋_GB2312"/>
          <w:color w:val="auto"/>
          <w:szCs w:val="32"/>
          <w:lang w:eastAsia="zh-CN"/>
        </w:rPr>
        <w:t>交通环保工作专项经费</w:t>
      </w:r>
      <w:r>
        <w:rPr>
          <w:rFonts w:hint="eastAsia" w:ascii="仿宋_GB2312" w:hAnsi="仿宋_GB2312" w:cs="仿宋_GB2312"/>
          <w:color w:val="auto"/>
          <w:szCs w:val="32"/>
        </w:rPr>
        <w:t>项目2020年绩效评价报告》《</w:t>
      </w:r>
      <w:r>
        <w:rPr>
          <w:rFonts w:hint="eastAsia" w:ascii="仿宋_GB2312" w:hAnsi="仿宋_GB2312" w:cs="仿宋_GB2312"/>
          <w:color w:val="auto"/>
          <w:szCs w:val="32"/>
          <w:lang w:eastAsia="zh-CN"/>
        </w:rPr>
        <w:t>乡</w:t>
      </w:r>
      <w:r>
        <w:rPr>
          <w:rFonts w:hint="eastAsia" w:ascii="仿宋_GB2312" w:hAnsi="仿宋_GB2312" w:cs="仿宋_GB2312"/>
          <w:color w:val="auto"/>
          <w:szCs w:val="32"/>
        </w:rPr>
        <w:t>道日常养护项目2020年绩效评价报告》《村道建设监督管理项目2020年绩效评价报告》《交通运输安全监管及应急演练专项经费项目2020年绩效评价报告》见附件（附件</w:t>
      </w:r>
      <w:r>
        <w:rPr>
          <w:rFonts w:hint="eastAsia" w:ascii="仿宋_GB2312" w:hAnsi="仿宋_GB2312" w:cs="仿宋_GB2312"/>
          <w:color w:val="auto"/>
          <w:szCs w:val="32"/>
          <w:lang w:val="en-US" w:eastAsia="zh-CN"/>
        </w:rPr>
        <w:t>1</w:t>
      </w:r>
      <w:r>
        <w:rPr>
          <w:rFonts w:hint="eastAsia" w:ascii="仿宋_GB2312" w:hAnsi="仿宋_GB2312" w:cs="仿宋_GB2312"/>
          <w:color w:val="auto"/>
          <w:szCs w:val="32"/>
        </w:rPr>
        <w:t>）。</w:t>
      </w:r>
    </w:p>
    <w:p>
      <w:pPr>
        <w:pageBreakBefore w:val="0"/>
        <w:widowControl/>
        <w:kinsoku/>
        <w:wordWrap/>
        <w:overflowPunct/>
        <w:topLinePunct w:val="0"/>
        <w:bidi w:val="0"/>
        <w:adjustRightInd w:val="0"/>
        <w:snapToGrid w:val="0"/>
        <w:spacing w:line="560" w:lineRule="exact"/>
        <w:jc w:val="left"/>
        <w:rPr>
          <w:rFonts w:ascii="仿宋_GB2312"/>
          <w:b/>
          <w:color w:val="auto"/>
          <w:szCs w:val="32"/>
        </w:rPr>
      </w:pPr>
      <w:r>
        <w:rPr>
          <w:rFonts w:ascii="仿宋_GB2312"/>
          <w:b/>
          <w:color w:val="auto"/>
          <w:szCs w:val="32"/>
        </w:rPr>
        <w:br w:type="page"/>
      </w:r>
    </w:p>
    <w:p>
      <w:pPr>
        <w:pageBreakBefore w:val="0"/>
        <w:numPr>
          <w:ilvl w:val="0"/>
          <w:numId w:val="2"/>
        </w:numPr>
        <w:kinsoku/>
        <w:wordWrap/>
        <w:overflowPunct/>
        <w:topLinePunct w:val="0"/>
        <w:bidi w:val="0"/>
        <w:adjustRightInd w:val="0"/>
        <w:snapToGrid w:val="0"/>
        <w:spacing w:line="560" w:lineRule="exact"/>
        <w:ind w:firstLine="660" w:firstLineChars="150"/>
        <w:jc w:val="center"/>
        <w:outlineLvl w:val="0"/>
        <w:rPr>
          <w:rStyle w:val="13"/>
          <w:rFonts w:ascii="黑体" w:hAnsi="黑体" w:eastAsia="黑体"/>
          <w:b w:val="0"/>
        </w:rPr>
      </w:pPr>
      <w:bookmarkStart w:id="55" w:name="_Toc3536"/>
      <w:bookmarkStart w:id="56" w:name="_Toc15396613"/>
      <w:bookmarkStart w:id="57" w:name="_Toc15377225"/>
      <w:r>
        <w:rPr>
          <w:rFonts w:hint="eastAsia" w:ascii="黑体" w:hAnsi="黑体" w:eastAsia="黑体"/>
          <w:sz w:val="44"/>
          <w:szCs w:val="44"/>
        </w:rPr>
        <w:t>名</w:t>
      </w:r>
      <w:r>
        <w:rPr>
          <w:rStyle w:val="13"/>
          <w:rFonts w:hint="eastAsia" w:ascii="黑体" w:hAnsi="黑体" w:eastAsia="黑体"/>
          <w:b w:val="0"/>
        </w:rPr>
        <w:t>词解释</w:t>
      </w:r>
      <w:bookmarkEnd w:id="55"/>
      <w:bookmarkEnd w:id="56"/>
      <w:bookmarkEnd w:id="57"/>
    </w:p>
    <w:p>
      <w:pPr>
        <w:pageBreakBefore w:val="0"/>
        <w:kinsoku/>
        <w:wordWrap/>
        <w:overflowPunct/>
        <w:topLinePunct w:val="0"/>
        <w:bidi w:val="0"/>
        <w:adjustRightInd w:val="0"/>
        <w:snapToGrid w:val="0"/>
        <w:spacing w:line="560" w:lineRule="exact"/>
        <w:jc w:val="left"/>
        <w:rPr>
          <w:rFonts w:ascii="宋体"/>
          <w:b/>
          <w:sz w:val="44"/>
          <w:szCs w:val="44"/>
        </w:rPr>
      </w:pPr>
    </w:p>
    <w:p>
      <w:pPr>
        <w:pStyle w:val="16"/>
        <w:pageBreakBefore w:val="0"/>
        <w:kinsoku/>
        <w:wordWrap/>
        <w:overflowPunct/>
        <w:topLinePunct w:val="0"/>
        <w:bidi w:val="0"/>
        <w:adjustRightInd w:val="0"/>
        <w:snapToGrid w:val="0"/>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16"/>
        <w:pageBreakBefore w:val="0"/>
        <w:kinsoku/>
        <w:wordWrap/>
        <w:overflowPunct/>
        <w:topLinePunct w:val="0"/>
        <w:bidi w:val="0"/>
        <w:adjustRightInd w:val="0"/>
        <w:snapToGrid w:val="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w:t>
      </w:r>
      <w:r>
        <w:rPr>
          <w:rFonts w:ascii="仿宋_GB2312" w:eastAsia="仿宋_GB2312"/>
          <w:color w:val="auto"/>
          <w:sz w:val="32"/>
          <w:szCs w:val="32"/>
        </w:rPr>
        <w:t>.</w:t>
      </w:r>
      <w:r>
        <w:rPr>
          <w:rFonts w:hint="eastAsia" w:ascii="仿宋_GB2312" w:eastAsia="仿宋_GB2312"/>
          <w:color w:val="auto"/>
          <w:sz w:val="32"/>
          <w:szCs w:val="32"/>
        </w:rPr>
        <w:t>年初结转和结余：指以前年度尚未完成、结转到本年按有关规定继续使用的资金。</w:t>
      </w:r>
    </w:p>
    <w:p>
      <w:pPr>
        <w:pStyle w:val="16"/>
        <w:pageBreakBefore w:val="0"/>
        <w:kinsoku/>
        <w:wordWrap/>
        <w:overflowPunct/>
        <w:topLinePunct w:val="0"/>
        <w:bidi w:val="0"/>
        <w:adjustRightInd w:val="0"/>
        <w:snapToGrid w:val="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3、年末结转和结余：指单位按有关规定结转到下年或以后年度继续使用的资金。</w:t>
      </w:r>
    </w:p>
    <w:p>
      <w:pPr>
        <w:pageBreakBefore w:val="0"/>
        <w:kinsoku/>
        <w:wordWrap/>
        <w:overflowPunct/>
        <w:topLinePunct w:val="0"/>
        <w:bidi w:val="0"/>
        <w:adjustRightInd w:val="0"/>
        <w:snapToGrid w:val="0"/>
        <w:spacing w:line="560" w:lineRule="exact"/>
        <w:ind w:firstLine="640" w:firstLineChars="200"/>
        <w:rPr>
          <w:rFonts w:ascii="仿宋_GB2312"/>
          <w:color w:val="000000"/>
          <w:szCs w:val="32"/>
        </w:rPr>
      </w:pPr>
      <w:r>
        <w:rPr>
          <w:rFonts w:hint="eastAsia" w:ascii="仿宋_GB2312"/>
          <w:color w:val="000000"/>
          <w:szCs w:val="32"/>
        </w:rPr>
        <w:t>4</w:t>
      </w:r>
      <w:r>
        <w:rPr>
          <w:rFonts w:ascii="仿宋_GB2312"/>
          <w:color w:val="000000"/>
          <w:szCs w:val="32"/>
        </w:rPr>
        <w:t>.</w:t>
      </w:r>
      <w:r>
        <w:rPr>
          <w:rFonts w:hint="eastAsia" w:ascii="仿宋_GB2312"/>
          <w:color w:val="000000"/>
          <w:szCs w:val="32"/>
        </w:rPr>
        <w:t>一般公共服务（类）组织事务（款）其他组织事务支出（项）：指其他用于中国共产党组织部门的事务支出。</w:t>
      </w:r>
    </w:p>
    <w:p>
      <w:pPr>
        <w:pageBreakBefore w:val="0"/>
        <w:kinsoku/>
        <w:wordWrap/>
        <w:overflowPunct/>
        <w:topLinePunct w:val="0"/>
        <w:bidi w:val="0"/>
        <w:adjustRightInd w:val="0"/>
        <w:snapToGrid w:val="0"/>
        <w:spacing w:line="560" w:lineRule="exact"/>
        <w:ind w:firstLine="640" w:firstLineChars="200"/>
        <w:rPr>
          <w:rFonts w:ascii="仿宋_GB2312"/>
          <w:szCs w:val="32"/>
        </w:rPr>
      </w:pPr>
      <w:r>
        <w:rPr>
          <w:rFonts w:hint="eastAsia" w:ascii="仿宋_GB2312"/>
          <w:szCs w:val="32"/>
        </w:rPr>
        <w:t>5.社会保障和就业（类）行政事业单位养老支出（款）机关事业单位基本养老保险缴费支出（项）：指部门实施养老保险制度由单位缴纳的养老保险费的支出。</w:t>
      </w:r>
    </w:p>
    <w:p>
      <w:pPr>
        <w:pageBreakBefore w:val="0"/>
        <w:kinsoku/>
        <w:wordWrap/>
        <w:overflowPunct/>
        <w:topLinePunct w:val="0"/>
        <w:bidi w:val="0"/>
        <w:adjustRightInd w:val="0"/>
        <w:snapToGrid w:val="0"/>
        <w:spacing w:line="560" w:lineRule="exact"/>
        <w:ind w:firstLine="640" w:firstLineChars="200"/>
        <w:rPr>
          <w:rFonts w:ascii="仿宋_GB2312"/>
          <w:szCs w:val="32"/>
        </w:rPr>
      </w:pPr>
      <w:r>
        <w:rPr>
          <w:rFonts w:hint="eastAsia" w:ascii="仿宋_GB2312"/>
          <w:szCs w:val="32"/>
        </w:rPr>
        <w:t>6.社会保障和就业（类）行政事业单位养老支出（款）机关事业单位职业年金缴费支出（项）：指机关事业单位实施养老保险制度由单位实际缴纳的职业年金支出。</w:t>
      </w:r>
    </w:p>
    <w:p>
      <w:pPr>
        <w:pageBreakBefore w:val="0"/>
        <w:kinsoku/>
        <w:wordWrap/>
        <w:overflowPunct/>
        <w:topLinePunct w:val="0"/>
        <w:bidi w:val="0"/>
        <w:adjustRightInd w:val="0"/>
        <w:snapToGrid w:val="0"/>
        <w:spacing w:line="560" w:lineRule="exact"/>
        <w:ind w:firstLine="640" w:firstLineChars="200"/>
        <w:rPr>
          <w:rFonts w:ascii="仿宋_GB2312"/>
          <w:szCs w:val="32"/>
        </w:rPr>
      </w:pPr>
      <w:r>
        <w:rPr>
          <w:rFonts w:hint="eastAsia" w:ascii="仿宋_GB2312"/>
          <w:szCs w:val="32"/>
        </w:rPr>
        <w:t>7.社会保障和就业（类）行政事业单位养老支出（款）其他行政事业单位离退休支出（项）：指除上述项目以外其他用于行政事业单位离退休方面的支出。</w:t>
      </w:r>
    </w:p>
    <w:p>
      <w:pPr>
        <w:pageBreakBefore w:val="0"/>
        <w:kinsoku/>
        <w:wordWrap/>
        <w:overflowPunct/>
        <w:topLinePunct w:val="0"/>
        <w:bidi w:val="0"/>
        <w:adjustRightInd w:val="0"/>
        <w:snapToGrid w:val="0"/>
        <w:spacing w:line="560" w:lineRule="exact"/>
        <w:ind w:firstLine="640"/>
        <w:rPr>
          <w:rFonts w:ascii="仿宋_GB2312"/>
          <w:szCs w:val="32"/>
        </w:rPr>
      </w:pPr>
      <w:r>
        <w:rPr>
          <w:rFonts w:hint="eastAsia" w:ascii="仿宋_GB2312"/>
          <w:szCs w:val="32"/>
        </w:rPr>
        <w:t>8.卫生健康（类）行政事业单位医疗（款）行政单位医疗（项）:指机关及参公管理事业单位用于缴纳单位基本医疗保险支出。</w:t>
      </w:r>
    </w:p>
    <w:p>
      <w:pPr>
        <w:pageBreakBefore w:val="0"/>
        <w:kinsoku/>
        <w:wordWrap/>
        <w:overflowPunct/>
        <w:topLinePunct w:val="0"/>
        <w:bidi w:val="0"/>
        <w:adjustRightInd w:val="0"/>
        <w:snapToGrid w:val="0"/>
        <w:spacing w:line="560" w:lineRule="exact"/>
        <w:ind w:firstLine="640"/>
        <w:rPr>
          <w:rFonts w:hint="eastAsia" w:ascii="仿宋_GB2312"/>
          <w:szCs w:val="32"/>
        </w:rPr>
      </w:pPr>
      <w:r>
        <w:rPr>
          <w:rFonts w:hint="eastAsia" w:ascii="仿宋_GB2312"/>
          <w:szCs w:val="32"/>
          <w:lang w:val="en-US" w:eastAsia="zh-CN"/>
        </w:rPr>
        <w:t>9</w:t>
      </w:r>
      <w:r>
        <w:rPr>
          <w:rFonts w:hint="eastAsia" w:ascii="仿宋_GB2312"/>
          <w:szCs w:val="32"/>
        </w:rPr>
        <w:t>.环境保护支出（类）环境保护管理事务（款）其他环境保护管理事务支出（项）：指政府环境保护管理方面的支出。</w:t>
      </w:r>
    </w:p>
    <w:p>
      <w:pPr>
        <w:pageBreakBefore w:val="0"/>
        <w:kinsoku/>
        <w:wordWrap/>
        <w:overflowPunct/>
        <w:topLinePunct w:val="0"/>
        <w:bidi w:val="0"/>
        <w:adjustRightInd w:val="0"/>
        <w:snapToGrid w:val="0"/>
        <w:spacing w:line="560" w:lineRule="exact"/>
        <w:ind w:firstLine="640"/>
        <w:rPr>
          <w:rFonts w:hint="eastAsia" w:ascii="仿宋_GB2312"/>
          <w:szCs w:val="32"/>
        </w:rPr>
      </w:pPr>
      <w:r>
        <w:rPr>
          <w:rFonts w:hint="eastAsia" w:ascii="仿宋_GB2312"/>
          <w:szCs w:val="32"/>
        </w:rPr>
        <w:t>1</w:t>
      </w:r>
      <w:r>
        <w:rPr>
          <w:rFonts w:hint="eastAsia" w:ascii="仿宋_GB2312"/>
          <w:szCs w:val="32"/>
          <w:lang w:val="en-US" w:eastAsia="zh-CN"/>
        </w:rPr>
        <w:t>0</w:t>
      </w:r>
      <w:r>
        <w:rPr>
          <w:rFonts w:hint="eastAsia" w:ascii="仿宋_GB2312"/>
          <w:szCs w:val="32"/>
        </w:rPr>
        <w:t>.农林水（类）农业农村（款）其他农业农村支出（项）：指反映用于农业农村方面的支出。</w:t>
      </w:r>
    </w:p>
    <w:p>
      <w:pPr>
        <w:pageBreakBefore w:val="0"/>
        <w:kinsoku/>
        <w:wordWrap/>
        <w:overflowPunct/>
        <w:topLinePunct w:val="0"/>
        <w:bidi w:val="0"/>
        <w:adjustRightInd w:val="0"/>
        <w:snapToGrid w:val="0"/>
        <w:spacing w:line="560" w:lineRule="exact"/>
        <w:ind w:firstLine="640"/>
        <w:rPr>
          <w:rFonts w:hint="eastAsia" w:ascii="仿宋_GB2312"/>
          <w:szCs w:val="32"/>
        </w:rPr>
      </w:pPr>
      <w:r>
        <w:rPr>
          <w:rFonts w:hint="eastAsia" w:ascii="仿宋_GB2312"/>
          <w:szCs w:val="32"/>
        </w:rPr>
        <w:t>1</w:t>
      </w:r>
      <w:r>
        <w:rPr>
          <w:rFonts w:hint="eastAsia" w:ascii="仿宋_GB2312"/>
          <w:szCs w:val="32"/>
          <w:lang w:val="en-US" w:eastAsia="zh-CN"/>
        </w:rPr>
        <w:t>1</w:t>
      </w:r>
      <w:r>
        <w:rPr>
          <w:rFonts w:hint="eastAsia" w:ascii="仿宋_GB2312"/>
          <w:szCs w:val="32"/>
        </w:rPr>
        <w:t>.交通运输支出（类）公路水路运输（款）行政运行（项）：指交通局机关用于保障机构正常运行、开展日常工作的基本支出。</w:t>
      </w:r>
    </w:p>
    <w:p>
      <w:pPr>
        <w:pageBreakBefore w:val="0"/>
        <w:kinsoku/>
        <w:wordWrap/>
        <w:overflowPunct/>
        <w:topLinePunct w:val="0"/>
        <w:bidi w:val="0"/>
        <w:adjustRightInd w:val="0"/>
        <w:snapToGrid w:val="0"/>
        <w:spacing w:line="560" w:lineRule="exact"/>
        <w:ind w:firstLine="640" w:firstLineChars="200"/>
        <w:rPr>
          <w:rFonts w:ascii="仿宋_GB2312"/>
          <w:szCs w:val="32"/>
        </w:rPr>
      </w:pPr>
      <w:r>
        <w:rPr>
          <w:rFonts w:hint="eastAsia" w:ascii="仿宋_GB2312"/>
          <w:szCs w:val="32"/>
        </w:rPr>
        <w:t>1</w:t>
      </w:r>
      <w:r>
        <w:rPr>
          <w:rFonts w:hint="eastAsia" w:ascii="仿宋_GB2312"/>
          <w:szCs w:val="32"/>
          <w:lang w:val="en-US" w:eastAsia="zh-CN"/>
        </w:rPr>
        <w:t>2</w:t>
      </w:r>
      <w:r>
        <w:rPr>
          <w:rFonts w:hint="eastAsia" w:ascii="仿宋_GB2312"/>
          <w:szCs w:val="32"/>
        </w:rPr>
        <w:t xml:space="preserve">.交通运输支出（类）公路水路运输（款）公路建设（项）：指新建公路支出，公路改建支出，特大型桥梁建设支出，公路客货运站（场）建设支出。     </w:t>
      </w:r>
    </w:p>
    <w:p>
      <w:pPr>
        <w:pageBreakBefore w:val="0"/>
        <w:kinsoku/>
        <w:wordWrap/>
        <w:overflowPunct/>
        <w:topLinePunct w:val="0"/>
        <w:bidi w:val="0"/>
        <w:adjustRightInd w:val="0"/>
        <w:snapToGrid w:val="0"/>
        <w:spacing w:line="560" w:lineRule="exact"/>
        <w:ind w:firstLine="640" w:firstLineChars="200"/>
        <w:rPr>
          <w:rFonts w:ascii="仿宋_GB2312"/>
          <w:szCs w:val="32"/>
        </w:rPr>
      </w:pPr>
      <w:r>
        <w:rPr>
          <w:rFonts w:hint="eastAsia" w:ascii="仿宋_GB2312"/>
          <w:szCs w:val="32"/>
        </w:rPr>
        <w:t>1</w:t>
      </w:r>
      <w:r>
        <w:rPr>
          <w:rFonts w:hint="eastAsia" w:ascii="仿宋_GB2312"/>
          <w:szCs w:val="32"/>
          <w:lang w:val="en-US" w:eastAsia="zh-CN"/>
        </w:rPr>
        <w:t>3</w:t>
      </w:r>
      <w:r>
        <w:rPr>
          <w:rFonts w:hint="eastAsia" w:ascii="仿宋_GB2312"/>
          <w:szCs w:val="32"/>
        </w:rPr>
        <w:t xml:space="preserve">.交通运输支出（类）公路水路运输（款）公路养护（项）：指用于全区农村公路的日常养护、应急抢险和大中修工程的支出。       </w:t>
      </w:r>
    </w:p>
    <w:p>
      <w:pPr>
        <w:pageBreakBefore w:val="0"/>
        <w:kinsoku/>
        <w:wordWrap/>
        <w:overflowPunct/>
        <w:topLinePunct w:val="0"/>
        <w:bidi w:val="0"/>
        <w:adjustRightInd w:val="0"/>
        <w:snapToGrid w:val="0"/>
        <w:spacing w:line="560" w:lineRule="exact"/>
        <w:ind w:firstLine="640" w:firstLineChars="200"/>
        <w:rPr>
          <w:rFonts w:ascii="仿宋_GB2312"/>
          <w:szCs w:val="32"/>
        </w:rPr>
      </w:pPr>
      <w:r>
        <w:rPr>
          <w:rFonts w:hint="eastAsia" w:ascii="仿宋_GB2312"/>
          <w:szCs w:val="32"/>
        </w:rPr>
        <w:t>1</w:t>
      </w:r>
      <w:r>
        <w:rPr>
          <w:rFonts w:hint="eastAsia" w:ascii="仿宋_GB2312"/>
          <w:szCs w:val="32"/>
          <w:lang w:val="en-US" w:eastAsia="zh-CN"/>
        </w:rPr>
        <w:t>4</w:t>
      </w:r>
      <w:r>
        <w:rPr>
          <w:rFonts w:hint="eastAsia" w:ascii="仿宋_GB2312"/>
          <w:szCs w:val="32"/>
        </w:rPr>
        <w:t>.交通运输支出（类）公路水路运输（款）公路和运输安全（项）：指用于增添、修复公路安全设施的支出。</w:t>
      </w:r>
    </w:p>
    <w:p>
      <w:pPr>
        <w:pageBreakBefore w:val="0"/>
        <w:kinsoku/>
        <w:wordWrap/>
        <w:overflowPunct/>
        <w:topLinePunct w:val="0"/>
        <w:bidi w:val="0"/>
        <w:adjustRightInd w:val="0"/>
        <w:snapToGrid w:val="0"/>
        <w:spacing w:line="560" w:lineRule="exact"/>
        <w:ind w:firstLine="640" w:firstLineChars="200"/>
        <w:rPr>
          <w:rFonts w:ascii="仿宋_GB2312"/>
          <w:szCs w:val="32"/>
        </w:rPr>
      </w:pPr>
      <w:r>
        <w:rPr>
          <w:rFonts w:hint="eastAsia" w:ascii="仿宋_GB2312"/>
          <w:szCs w:val="32"/>
        </w:rPr>
        <w:t>1</w:t>
      </w:r>
      <w:r>
        <w:rPr>
          <w:rFonts w:hint="eastAsia" w:ascii="仿宋_GB2312"/>
          <w:szCs w:val="32"/>
          <w:lang w:val="en-US" w:eastAsia="zh-CN"/>
        </w:rPr>
        <w:t>5</w:t>
      </w:r>
      <w:r>
        <w:rPr>
          <w:rFonts w:hint="eastAsia" w:ascii="仿宋_GB2312"/>
          <w:szCs w:val="32"/>
        </w:rPr>
        <w:t>.交通运输支出（类）公路水路运输（款）公路运输管理（项）：指公路运输管理支出和公路路政管理支出。</w:t>
      </w:r>
    </w:p>
    <w:p>
      <w:pPr>
        <w:pageBreakBefore w:val="0"/>
        <w:kinsoku/>
        <w:wordWrap/>
        <w:overflowPunct/>
        <w:topLinePunct w:val="0"/>
        <w:bidi w:val="0"/>
        <w:adjustRightInd w:val="0"/>
        <w:snapToGrid w:val="0"/>
        <w:spacing w:line="560" w:lineRule="exact"/>
        <w:ind w:firstLine="640" w:firstLineChars="200"/>
        <w:rPr>
          <w:rFonts w:ascii="仿宋_GB2312"/>
          <w:szCs w:val="32"/>
        </w:rPr>
      </w:pPr>
      <w:r>
        <w:rPr>
          <w:rFonts w:hint="eastAsia" w:ascii="仿宋_GB2312"/>
          <w:szCs w:val="32"/>
        </w:rPr>
        <w:t>1</w:t>
      </w:r>
      <w:r>
        <w:rPr>
          <w:rFonts w:hint="eastAsia" w:ascii="仿宋_GB2312"/>
          <w:szCs w:val="32"/>
          <w:lang w:val="en-US" w:eastAsia="zh-CN"/>
        </w:rPr>
        <w:t>6</w:t>
      </w:r>
      <w:r>
        <w:rPr>
          <w:rFonts w:hint="eastAsia" w:ascii="仿宋_GB2312"/>
          <w:szCs w:val="32"/>
        </w:rPr>
        <w:t>.交通运输支出（类）公路水路运输（款）其他公路水路运输支出（项）：指除上述项目以外的开展其他公路方面的项目支出。</w:t>
      </w:r>
    </w:p>
    <w:p>
      <w:pPr>
        <w:pageBreakBefore w:val="0"/>
        <w:kinsoku/>
        <w:wordWrap/>
        <w:overflowPunct/>
        <w:topLinePunct w:val="0"/>
        <w:bidi w:val="0"/>
        <w:adjustRightInd w:val="0"/>
        <w:snapToGrid w:val="0"/>
        <w:spacing w:line="560" w:lineRule="exact"/>
        <w:rPr>
          <w:rFonts w:ascii="仿宋_GB2312"/>
          <w:szCs w:val="32"/>
        </w:rPr>
      </w:pPr>
      <w:r>
        <w:rPr>
          <w:rFonts w:hint="eastAsia" w:ascii="仿宋_GB2312"/>
          <w:szCs w:val="32"/>
        </w:rPr>
        <w:t xml:space="preserve"> </w:t>
      </w:r>
      <w:r>
        <w:rPr>
          <w:rFonts w:hint="eastAsia" w:ascii="仿宋_GB2312"/>
          <w:szCs w:val="32"/>
          <w:lang w:val="en-US" w:eastAsia="zh-CN"/>
        </w:rPr>
        <w:t xml:space="preserve">    </w:t>
      </w:r>
      <w:r>
        <w:rPr>
          <w:rFonts w:hint="eastAsia" w:ascii="仿宋_GB2312"/>
          <w:szCs w:val="32"/>
        </w:rPr>
        <w:t>1</w:t>
      </w:r>
      <w:r>
        <w:rPr>
          <w:rFonts w:hint="eastAsia" w:ascii="仿宋_GB2312"/>
          <w:szCs w:val="32"/>
          <w:lang w:val="en-US" w:eastAsia="zh-CN"/>
        </w:rPr>
        <w:t>7</w:t>
      </w:r>
      <w:r>
        <w:rPr>
          <w:rFonts w:hint="eastAsia" w:ascii="仿宋_GB2312"/>
          <w:szCs w:val="32"/>
        </w:rPr>
        <w:t>.交通运输支出（类）车辆购置税支出（款）车辆购置税用于公路等基础设施建设支出（项）：指车辆购置税收入安排的用于农村公路建设等基础设施建设的支出。</w:t>
      </w:r>
    </w:p>
    <w:p>
      <w:pPr>
        <w:pageBreakBefore w:val="0"/>
        <w:kinsoku/>
        <w:wordWrap/>
        <w:overflowPunct/>
        <w:topLinePunct w:val="0"/>
        <w:bidi w:val="0"/>
        <w:adjustRightInd w:val="0"/>
        <w:snapToGrid w:val="0"/>
        <w:spacing w:line="560" w:lineRule="exact"/>
        <w:rPr>
          <w:rFonts w:ascii="仿宋_GB2312"/>
          <w:szCs w:val="32"/>
        </w:rPr>
      </w:pPr>
      <w:r>
        <w:rPr>
          <w:rFonts w:hint="eastAsia" w:ascii="仿宋_GB2312"/>
          <w:szCs w:val="32"/>
        </w:rPr>
        <w:t xml:space="preserve">  </w:t>
      </w:r>
      <w:r>
        <w:rPr>
          <w:rFonts w:hint="eastAsia" w:ascii="仿宋_GB2312"/>
          <w:szCs w:val="32"/>
          <w:lang w:val="en-US" w:eastAsia="zh-CN"/>
        </w:rPr>
        <w:t xml:space="preserve">    18</w:t>
      </w:r>
      <w:r>
        <w:rPr>
          <w:rFonts w:hint="eastAsia" w:ascii="仿宋_GB2312"/>
          <w:szCs w:val="32"/>
        </w:rPr>
        <w:t>.住房保障支出（类）住房改革支出（款）住房公积金（项）：指按照《住房公积金管理条例》的规定，由单位及其在职职工缴存的长期住房储金。</w:t>
      </w:r>
    </w:p>
    <w:p>
      <w:pPr>
        <w:pageBreakBefore w:val="0"/>
        <w:kinsoku/>
        <w:wordWrap/>
        <w:overflowPunct/>
        <w:topLinePunct w:val="0"/>
        <w:bidi w:val="0"/>
        <w:adjustRightInd w:val="0"/>
        <w:snapToGrid w:val="0"/>
        <w:spacing w:line="560" w:lineRule="exact"/>
        <w:ind w:firstLine="640" w:firstLineChars="200"/>
        <w:rPr>
          <w:rFonts w:ascii="仿宋_GB2312"/>
          <w:szCs w:val="32"/>
        </w:rPr>
      </w:pPr>
      <w:r>
        <w:rPr>
          <w:rFonts w:hint="eastAsia" w:ascii="仿宋_GB2312"/>
          <w:szCs w:val="32"/>
          <w:lang w:val="en-US" w:eastAsia="zh-CN"/>
        </w:rPr>
        <w:t>19</w:t>
      </w:r>
      <w:r>
        <w:rPr>
          <w:rFonts w:ascii="仿宋_GB2312"/>
          <w:szCs w:val="32"/>
        </w:rPr>
        <w:t>.</w:t>
      </w:r>
      <w:r>
        <w:rPr>
          <w:rFonts w:hint="eastAsia" w:ascii="仿宋_GB2312"/>
          <w:szCs w:val="32"/>
        </w:rPr>
        <w:t>基本支出：指为保障机构正常运转、完成日常工作任务而发生的人员支出和公用支出。</w:t>
      </w:r>
    </w:p>
    <w:p>
      <w:pPr>
        <w:pageBreakBefore w:val="0"/>
        <w:kinsoku/>
        <w:wordWrap/>
        <w:overflowPunct/>
        <w:topLinePunct w:val="0"/>
        <w:bidi w:val="0"/>
        <w:adjustRightInd w:val="0"/>
        <w:snapToGrid w:val="0"/>
        <w:spacing w:line="560" w:lineRule="exact"/>
        <w:ind w:firstLine="640" w:firstLineChars="200"/>
        <w:rPr>
          <w:rFonts w:ascii="仿宋_GB2312"/>
          <w:szCs w:val="32"/>
        </w:rPr>
      </w:pPr>
      <w:r>
        <w:rPr>
          <w:rFonts w:hint="eastAsia" w:ascii="仿宋_GB2312"/>
          <w:szCs w:val="32"/>
          <w:lang w:val="en-US" w:eastAsia="zh-CN"/>
        </w:rPr>
        <w:t>20</w:t>
      </w:r>
      <w:r>
        <w:rPr>
          <w:rFonts w:ascii="仿宋_GB2312"/>
          <w:szCs w:val="32"/>
        </w:rPr>
        <w:t>.</w:t>
      </w:r>
      <w:r>
        <w:rPr>
          <w:rFonts w:hint="eastAsia" w:ascii="仿宋_GB2312"/>
          <w:szCs w:val="32"/>
        </w:rPr>
        <w:t>项目支出：指在基本支出之外为完成特定行政任务和事业发展目标所发生的支出。</w:t>
      </w:r>
    </w:p>
    <w:p>
      <w:pPr>
        <w:pStyle w:val="16"/>
        <w:pageBreakBefore w:val="0"/>
        <w:kinsoku/>
        <w:wordWrap/>
        <w:overflowPunct/>
        <w:topLinePunct w:val="0"/>
        <w:bidi w:val="0"/>
        <w:adjustRightInd w:val="0"/>
        <w:snapToGrid w:val="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21</w:t>
      </w:r>
      <w:r>
        <w:rPr>
          <w:rFonts w:ascii="仿宋_GB2312" w:eastAsia="仿宋_GB2312"/>
          <w:color w:val="auto"/>
          <w:sz w:val="32"/>
          <w:szCs w:val="32"/>
        </w:rPr>
        <w:t>.</w:t>
      </w:r>
      <w:r>
        <w:rPr>
          <w:rFonts w:hint="eastAsia" w:ascii="仿宋_GB2312" w:eastAsia="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6"/>
        <w:pageBreakBefore w:val="0"/>
        <w:kinsoku/>
        <w:wordWrap/>
        <w:overflowPunct/>
        <w:topLinePunct w:val="0"/>
        <w:bidi w:val="0"/>
        <w:adjustRightInd w:val="0"/>
        <w:snapToGrid w:val="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22</w:t>
      </w:r>
      <w:r>
        <w:rPr>
          <w:rFonts w:ascii="仿宋_GB2312" w:eastAsia="仿宋_GB2312"/>
          <w:color w:val="auto"/>
          <w:sz w:val="32"/>
          <w:szCs w:val="32"/>
        </w:rPr>
        <w:t>.</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ageBreakBefore w:val="0"/>
        <w:kinsoku/>
        <w:wordWrap/>
        <w:overflowPunct/>
        <w:topLinePunct w:val="0"/>
        <w:bidi w:val="0"/>
        <w:adjustRightInd w:val="0"/>
        <w:snapToGrid w:val="0"/>
        <w:spacing w:line="560" w:lineRule="exact"/>
        <w:jc w:val="center"/>
        <w:outlineLvl w:val="0"/>
        <w:rPr>
          <w:rStyle w:val="13"/>
          <w:rFonts w:ascii="黑体" w:hAnsi="黑体" w:eastAsia="黑体"/>
          <w:b w:val="0"/>
          <w:color w:val="auto"/>
        </w:rPr>
      </w:pPr>
      <w:bookmarkStart w:id="58" w:name="_Toc15377226"/>
      <w:r>
        <w:rPr>
          <w:rFonts w:ascii="宋体"/>
          <w:b/>
          <w:color w:val="FF0000"/>
          <w:sz w:val="44"/>
          <w:szCs w:val="44"/>
        </w:rPr>
        <w:br w:type="page"/>
      </w:r>
      <w:bookmarkStart w:id="59" w:name="_Toc11207"/>
      <w:bookmarkStart w:id="60" w:name="_Toc15396614"/>
      <w:r>
        <w:rPr>
          <w:rFonts w:hint="eastAsia" w:ascii="黑体" w:hAnsi="黑体" w:eastAsia="黑体"/>
          <w:color w:val="auto"/>
          <w:sz w:val="44"/>
          <w:szCs w:val="44"/>
        </w:rPr>
        <w:t>第</w:t>
      </w:r>
      <w:r>
        <w:rPr>
          <w:rStyle w:val="13"/>
          <w:rFonts w:hint="eastAsia" w:ascii="黑体" w:hAnsi="黑体" w:eastAsia="黑体"/>
          <w:b w:val="0"/>
          <w:color w:val="auto"/>
        </w:rPr>
        <w:t>四部分附件</w:t>
      </w:r>
      <w:bookmarkEnd w:id="59"/>
      <w:bookmarkEnd w:id="60"/>
    </w:p>
    <w:p>
      <w:pPr>
        <w:pageBreakBefore w:val="0"/>
        <w:kinsoku/>
        <w:wordWrap/>
        <w:overflowPunct/>
        <w:topLinePunct w:val="0"/>
        <w:bidi w:val="0"/>
        <w:adjustRightInd w:val="0"/>
        <w:snapToGrid w:val="0"/>
        <w:spacing w:line="560" w:lineRule="exact"/>
        <w:jc w:val="left"/>
        <w:outlineLvl w:val="1"/>
        <w:rPr>
          <w:rFonts w:ascii="方正小标宋简体" w:hAnsi="方正小标宋简体" w:eastAsia="方正小标宋简体" w:cs="方正小标宋简体"/>
          <w:color w:val="auto"/>
          <w:szCs w:val="32"/>
        </w:rPr>
      </w:pPr>
      <w:bookmarkStart w:id="61" w:name="_Toc22930"/>
      <w:r>
        <w:rPr>
          <w:rFonts w:hint="eastAsia" w:ascii="黑体" w:hAnsi="黑体" w:eastAsia="黑体" w:cs="黑体"/>
          <w:color w:val="auto"/>
          <w:szCs w:val="32"/>
        </w:rPr>
        <w:t>附件</w:t>
      </w:r>
      <w:r>
        <w:rPr>
          <w:rFonts w:ascii="黑体" w:hAnsi="黑体" w:eastAsia="黑体" w:cs="黑体"/>
          <w:color w:val="auto"/>
          <w:szCs w:val="32"/>
        </w:rPr>
        <w:t>1</w:t>
      </w:r>
      <w:bookmarkEnd w:id="61"/>
    </w:p>
    <w:p>
      <w:pPr>
        <w:pageBreakBefore w:val="0"/>
        <w:kinsoku/>
        <w:wordWrap/>
        <w:overflowPunct/>
        <w:topLinePunct w:val="0"/>
        <w:bidi w:val="0"/>
        <w:adjustRightInd w:val="0"/>
        <w:snapToGrid w:val="0"/>
        <w:spacing w:line="560" w:lineRule="exact"/>
        <w:jc w:val="both"/>
        <w:rPr>
          <w:rFonts w:ascii="方正小标宋简体" w:hAnsi="宋体" w:eastAsia="方正小标宋简体"/>
          <w:color w:val="FF0000"/>
          <w:kern w:val="0"/>
          <w:sz w:val="44"/>
          <w:szCs w:val="44"/>
          <w:lang w:val="zh-CN"/>
        </w:rPr>
      </w:pPr>
    </w:p>
    <w:p>
      <w:pPr>
        <w:pageBreakBefore w:val="0"/>
        <w:kinsoku/>
        <w:wordWrap/>
        <w:overflowPunct/>
        <w:topLinePunct w:val="0"/>
        <w:bidi w:val="0"/>
        <w:adjustRightInd w:val="0"/>
        <w:snapToGrid w:val="0"/>
        <w:spacing w:line="560" w:lineRule="exact"/>
        <w:jc w:val="center"/>
        <w:rPr>
          <w:rFonts w:ascii="黑体" w:hAnsi="黑体" w:eastAsia="黑体" w:cs="方正小标宋简体"/>
          <w:color w:val="auto"/>
          <w:sz w:val="44"/>
          <w:szCs w:val="44"/>
        </w:rPr>
      </w:pPr>
      <w:r>
        <w:rPr>
          <w:rFonts w:hint="eastAsia" w:ascii="黑体" w:hAnsi="黑体" w:eastAsia="黑体" w:cs="方正小标宋简体"/>
          <w:color w:val="auto"/>
          <w:sz w:val="44"/>
          <w:szCs w:val="44"/>
        </w:rPr>
        <w:t>乡村道养护以奖代补项目</w:t>
      </w:r>
    </w:p>
    <w:p>
      <w:pPr>
        <w:pageBreakBefore w:val="0"/>
        <w:kinsoku/>
        <w:wordWrap/>
        <w:overflowPunct/>
        <w:topLinePunct w:val="0"/>
        <w:bidi w:val="0"/>
        <w:adjustRightInd w:val="0"/>
        <w:snapToGrid w:val="0"/>
        <w:spacing w:line="560" w:lineRule="exact"/>
        <w:jc w:val="center"/>
        <w:rPr>
          <w:rFonts w:ascii="黑体" w:hAnsi="黑体" w:eastAsia="黑体" w:cs="方正小标宋简体"/>
          <w:color w:val="auto"/>
          <w:sz w:val="44"/>
          <w:szCs w:val="44"/>
        </w:rPr>
      </w:pPr>
      <w:r>
        <w:rPr>
          <w:rFonts w:hint="eastAsia" w:ascii="黑体" w:hAnsi="黑体" w:eastAsia="黑体" w:cs="方正小标宋简体"/>
          <w:color w:val="auto"/>
          <w:sz w:val="44"/>
          <w:szCs w:val="44"/>
        </w:rPr>
        <w:t>2020年绩效评价报告</w:t>
      </w:r>
    </w:p>
    <w:p>
      <w:pPr>
        <w:pageBreakBefore w:val="0"/>
        <w:kinsoku/>
        <w:wordWrap/>
        <w:overflowPunct/>
        <w:topLinePunct w:val="0"/>
        <w:bidi w:val="0"/>
        <w:adjustRightInd w:val="0"/>
        <w:snapToGrid w:val="0"/>
        <w:spacing w:line="560" w:lineRule="exact"/>
        <w:ind w:firstLine="640" w:firstLineChars="200"/>
        <w:rPr>
          <w:rFonts w:ascii="仿宋_GB2312" w:hAnsi="仿宋_GB2312" w:cs="仿宋_GB2312"/>
          <w:color w:val="auto"/>
          <w:szCs w:val="32"/>
        </w:rPr>
      </w:pP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一</w:t>
      </w:r>
      <w:r>
        <w:rPr>
          <w:rFonts w:ascii="仿宋" w:hAnsi="仿宋" w:eastAsia="仿宋" w:cs="仿宋_GB2312"/>
          <w:color w:val="auto"/>
          <w:szCs w:val="32"/>
        </w:rPr>
        <w:t>、评价工作开展及项目情况</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区交通局组建了由局办公室、财务室、综合股人员参加的绩效评价小组。由于乡道、村道养护实行“县道县管、乡道乡管、村道村管”的管理体制，由乡镇、村社各自负责乡道、村道的日常管养维护和应急保通保畅工作，区交通局负责养护指导与考核检查工作，每季度检查考核合格后进行补助资金拨付。我们根据乡村道养护考核以奖代补的方式和目标，选取了管养里程、以奖代补资金、乡村道优良路率、管养效果、养护时间、环境影响、通行安全、养护持续性、镇村干部满意度等九个三级指标进行评价，评价方法包括现场查看、入户走访、检查资料等方式；</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二</w:t>
      </w:r>
      <w:r>
        <w:rPr>
          <w:rFonts w:ascii="仿宋" w:hAnsi="仿宋" w:eastAsia="仿宋" w:cs="仿宋_GB2312"/>
          <w:color w:val="auto"/>
          <w:szCs w:val="32"/>
        </w:rPr>
        <w:t>、评价结论及绩效分析</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ascii="仿宋" w:hAnsi="仿宋" w:eastAsia="仿宋" w:cs="仿宋_GB2312"/>
          <w:color w:val="auto"/>
          <w:szCs w:val="32"/>
        </w:rPr>
        <w:t>（一）评价结论</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绩效评价小组按照要求对各项指标进行了认真、细致的评价，给予该</w:t>
      </w:r>
      <w:r>
        <w:rPr>
          <w:rFonts w:ascii="仿宋" w:hAnsi="仿宋" w:eastAsia="仿宋" w:cs="仿宋_GB2312"/>
          <w:color w:val="auto"/>
          <w:szCs w:val="32"/>
        </w:rPr>
        <w:t>项目绩效评价总体</w:t>
      </w:r>
      <w:r>
        <w:rPr>
          <w:rFonts w:hint="eastAsia" w:ascii="仿宋" w:hAnsi="仿宋" w:eastAsia="仿宋" w:cs="仿宋_GB2312"/>
          <w:color w:val="auto"/>
          <w:szCs w:val="32"/>
        </w:rPr>
        <w:t>良好的</w:t>
      </w:r>
      <w:r>
        <w:rPr>
          <w:rFonts w:ascii="仿宋" w:hAnsi="仿宋" w:eastAsia="仿宋" w:cs="仿宋_GB2312"/>
          <w:color w:val="auto"/>
          <w:szCs w:val="32"/>
        </w:rPr>
        <w:t>结论</w:t>
      </w:r>
      <w:r>
        <w:rPr>
          <w:rFonts w:hint="eastAsia" w:ascii="仿宋" w:hAnsi="仿宋" w:eastAsia="仿宋" w:cs="仿宋_GB2312"/>
          <w:color w:val="auto"/>
          <w:szCs w:val="32"/>
        </w:rPr>
        <w:t>，评价得分为95分</w:t>
      </w:r>
      <w:r>
        <w:rPr>
          <w:rFonts w:ascii="仿宋" w:hAnsi="仿宋" w:eastAsia="仿宋" w:cs="仿宋_GB2312"/>
          <w:color w:val="auto"/>
          <w:szCs w:val="32"/>
        </w:rPr>
        <w:t>（包括项目评价得分表）</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ascii="仿宋" w:hAnsi="仿宋" w:eastAsia="仿宋" w:cs="仿宋_GB2312"/>
          <w:color w:val="auto"/>
          <w:szCs w:val="32"/>
        </w:rPr>
        <w:t>（二）绩效分析</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ascii="仿宋" w:hAnsi="仿宋" w:eastAsia="仿宋" w:cs="仿宋_GB2312"/>
          <w:color w:val="auto"/>
          <w:szCs w:val="32"/>
        </w:rPr>
        <w:t>1、项目决策</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随着经济社会的发展，人民群众对生产生活出行环境的改善越来越高，公路的整洁美观、安全、畅通成为了群众对公路养护的起码要求。同时，镇村由于人财物力的有限性，放任镇村自行负责将会使镇村管养农村公路的责任和意识逐渐淡化，不能保证养护效果。由区政府组织部门和人员进行检查考核并据此分配奖补资金，可以有效提高镇村的养护积极性；在检查考核的同时加强养护管理的宣传也增强了镇村干部及群众的爱路护路意识。由此，2010年，区政府出台了“贡井区农村公路养护管理考核办法”（贡府办发〔2010〕48号文），成立</w:t>
      </w:r>
      <w:r>
        <w:rPr>
          <w:rFonts w:hint="eastAsia" w:ascii="仿宋_GB2312"/>
          <w:snapToGrid w:val="0"/>
          <w:color w:val="auto"/>
          <w:kern w:val="0"/>
          <w:szCs w:val="32"/>
        </w:rPr>
        <w:t>区目督办、区财政局、区监察局、区审计局等为成员的全区农村公路养护管理考核领导小组，负责全区农村公路养护管理工作的考核，日常养护管理考核由区交通局负责，考核结果纳入年度综合目标考核。</w:t>
      </w:r>
      <w:r>
        <w:rPr>
          <w:rFonts w:hint="eastAsia" w:ascii="仿宋" w:hAnsi="仿宋" w:eastAsia="仿宋" w:cs="仿宋_GB2312"/>
          <w:color w:val="auto"/>
          <w:szCs w:val="32"/>
        </w:rPr>
        <w:t>本项目的绩效目标主要根据该文件的要求和可操作性来进行设置。</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ascii="仿宋" w:hAnsi="仿宋" w:eastAsia="仿宋" w:cs="仿宋_GB2312"/>
          <w:color w:val="auto"/>
          <w:szCs w:val="32"/>
        </w:rPr>
        <w:t>2、项目管理</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区财政下达乡村道以奖代补项目预算</w:t>
      </w:r>
      <w:r>
        <w:rPr>
          <w:rFonts w:ascii="仿宋" w:hAnsi="仿宋" w:eastAsia="仿宋" w:cs="仿宋_GB2312"/>
          <w:color w:val="auto"/>
          <w:szCs w:val="32"/>
        </w:rPr>
        <w:t>资金</w:t>
      </w:r>
      <w:r>
        <w:rPr>
          <w:rFonts w:hint="eastAsia" w:ascii="仿宋" w:hAnsi="仿宋" w:eastAsia="仿宋" w:cs="仿宋_GB2312"/>
          <w:color w:val="auto"/>
          <w:szCs w:val="32"/>
        </w:rPr>
        <w:t>15万元。区交通局负责开展每季度一次的养护管理检查考核工作，并指出存在问题，要求及时整改，考核合格才拨付养护资金；年终由几家部门组成的综合检查组开展检查考核，综合评定名次，以政府名义发文进行奖补。由于各部分通力协作，措施得当，镇村积极性较高，乡村道路养护管理工作落到了实处，镇村除积极开展日常养护巡查、及时处置险情外，加强了全民爱路护路的宣传，群众的护路意识得到加强，对公路的占道经营、损害公路设施的行为及时上报查处坚决。区交通局根据业务股室的考核情况按照财政规定采用直接支付方式及时拨付奖补资金。</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ascii="仿宋" w:hAnsi="仿宋" w:eastAsia="仿宋" w:cs="仿宋_GB2312"/>
          <w:color w:val="auto"/>
          <w:szCs w:val="32"/>
        </w:rPr>
        <w:t>3、项目绩效</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经过区、镇、村的共同努力，全区乡道、村道管理养护工作全面完成，养护制度健全、养护责任落实，全区88公里乡道、619.5公里村道得到全面养护，发生险情得到及时处置，保障了安全畅通，没有发生一起安全事故。养护质量良好。养护奖补资金拨付率100%。由于养护效果较好，全区道路畅通，在市交通局、公路局年终养护检查中得到好评。由于养护得力，全区乡村公路整洁顺畅，为群众提供了舒适便捷的生产生活出行条件，保障了农村各种经济作物、粮食和其它生产资料的运输条件较好地带动沿线及周边的产业发展；同时，整洁、顺畅的公路环境也会带动居民修路护路的积极性，对居民养成良好生活习惯和美化生产生活环境也起到促进作用。奖补资金全部用于乡村公路养护，资金使用效率高。全区镇村干部满意度达95%。</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三</w:t>
      </w:r>
      <w:r>
        <w:rPr>
          <w:rFonts w:ascii="仿宋" w:hAnsi="仿宋" w:eastAsia="仿宋" w:cs="仿宋_GB2312"/>
          <w:color w:val="auto"/>
          <w:szCs w:val="32"/>
        </w:rPr>
        <w:t>、存在主要问题</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区政府安排的公路养护奖补资金十年来未曾提高，随着材料、人工的价格的不断上涨，镇村保持原本的养护效果的难度越来越大。</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四</w:t>
      </w:r>
      <w:r>
        <w:rPr>
          <w:rFonts w:ascii="仿宋" w:hAnsi="仿宋" w:eastAsia="仿宋" w:cs="仿宋_GB2312"/>
          <w:color w:val="auto"/>
          <w:szCs w:val="32"/>
        </w:rPr>
        <w:t>、相关措施建议</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希望区政府能够修改出台新的农村公路管理养护办法，适当增加农村公路养护的奖补资金，促进我区农村公路向“四好农村公路”全面迈进。</w:t>
      </w:r>
    </w:p>
    <w:p>
      <w:pPr>
        <w:pageBreakBefore w:val="0"/>
        <w:kinsoku/>
        <w:wordWrap/>
        <w:overflowPunct/>
        <w:topLinePunct w:val="0"/>
        <w:bidi w:val="0"/>
        <w:adjustRightInd w:val="0"/>
        <w:snapToGrid w:val="0"/>
        <w:spacing w:line="560" w:lineRule="exact"/>
        <w:rPr>
          <w:rFonts w:ascii="宋体"/>
          <w:color w:val="auto"/>
          <w:szCs w:val="32"/>
          <w:lang w:val="zh-CN"/>
        </w:rPr>
      </w:pPr>
    </w:p>
    <w:p>
      <w:pPr>
        <w:spacing w:line="580" w:lineRule="exact"/>
        <w:jc w:val="center"/>
        <w:rPr>
          <w:rFonts w:hint="eastAsia" w:ascii="黑体" w:hAnsi="黑体" w:eastAsia="黑体" w:cs="方正小标宋简体"/>
          <w:sz w:val="44"/>
          <w:szCs w:val="44"/>
        </w:rPr>
      </w:pPr>
      <w:r>
        <w:rPr>
          <w:rFonts w:hint="eastAsia" w:ascii="黑体" w:hAnsi="黑体" w:eastAsia="黑体" w:cs="方正小标宋简体"/>
          <w:color w:val="FF0000"/>
          <w:sz w:val="44"/>
          <w:szCs w:val="44"/>
        </w:rPr>
        <w:t xml:space="preserve">  </w:t>
      </w:r>
      <w:r>
        <w:rPr>
          <w:rFonts w:hint="eastAsia" w:ascii="黑体" w:hAnsi="黑体" w:eastAsia="黑体" w:cs="方正小标宋简体"/>
          <w:sz w:val="44"/>
          <w:szCs w:val="44"/>
        </w:rPr>
        <w:t>交通</w:t>
      </w:r>
      <w:r>
        <w:rPr>
          <w:rFonts w:hint="eastAsia" w:ascii="黑体" w:hAnsi="黑体" w:eastAsia="黑体" w:cs="方正小标宋简体"/>
          <w:sz w:val="44"/>
          <w:szCs w:val="44"/>
          <w:lang w:eastAsia="zh-CN"/>
        </w:rPr>
        <w:t>环保工作专项资金</w:t>
      </w:r>
      <w:r>
        <w:rPr>
          <w:rFonts w:hint="eastAsia" w:ascii="黑体" w:hAnsi="黑体" w:eastAsia="黑体" w:cs="方正小标宋简体"/>
          <w:sz w:val="44"/>
          <w:szCs w:val="44"/>
        </w:rPr>
        <w:t>项目</w:t>
      </w:r>
    </w:p>
    <w:p>
      <w:pPr>
        <w:spacing w:line="580" w:lineRule="exact"/>
        <w:jc w:val="center"/>
        <w:rPr>
          <w:rFonts w:ascii="黑体" w:hAnsi="黑体" w:eastAsia="黑体" w:cs="方正小标宋简体"/>
          <w:sz w:val="44"/>
          <w:szCs w:val="44"/>
        </w:rPr>
      </w:pPr>
      <w:r>
        <w:rPr>
          <w:rFonts w:hint="eastAsia" w:ascii="黑体" w:hAnsi="黑体" w:eastAsia="黑体" w:cs="方正小标宋简体"/>
          <w:sz w:val="44"/>
          <w:szCs w:val="44"/>
        </w:rPr>
        <w:t>支出绩效评价报告</w:t>
      </w: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w:t>
      </w:r>
      <w:r>
        <w:rPr>
          <w:rFonts w:ascii="仿宋" w:hAnsi="仿宋" w:eastAsia="仿宋" w:cs="仿宋_GB2312"/>
          <w:sz w:val="32"/>
          <w:szCs w:val="32"/>
        </w:rPr>
        <w:t>、评价工作开展及项目情况</w:t>
      </w:r>
    </w:p>
    <w:p>
      <w:pPr>
        <w:spacing w:line="58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区交通局组建了由局办公室、财务室人员参加的绩效评价小组。由于交通</w:t>
      </w:r>
      <w:r>
        <w:rPr>
          <w:rFonts w:hint="eastAsia" w:ascii="仿宋" w:hAnsi="仿宋" w:eastAsia="仿宋" w:cs="仿宋_GB2312"/>
          <w:sz w:val="32"/>
          <w:szCs w:val="32"/>
          <w:lang w:eastAsia="zh-CN"/>
        </w:rPr>
        <w:t>环保工作</w:t>
      </w:r>
      <w:r>
        <w:rPr>
          <w:rFonts w:hint="eastAsia" w:ascii="仿宋" w:hAnsi="仿宋" w:eastAsia="仿宋" w:cs="仿宋_GB2312"/>
          <w:sz w:val="32"/>
          <w:szCs w:val="32"/>
        </w:rPr>
        <w:t>包括</w:t>
      </w:r>
      <w:r>
        <w:rPr>
          <w:rFonts w:hint="eastAsia" w:ascii="仿宋" w:hAnsi="仿宋" w:eastAsia="仿宋" w:cs="仿宋_GB2312"/>
          <w:sz w:val="32"/>
          <w:szCs w:val="32"/>
          <w:lang w:eastAsia="zh-CN"/>
        </w:rPr>
        <w:t>汽修行业排放物处理、</w:t>
      </w:r>
      <w:r>
        <w:rPr>
          <w:rFonts w:hint="eastAsia" w:ascii="仿宋_GB2312" w:hAnsi="仿宋_GB2312" w:eastAsia="仿宋_GB2312"/>
          <w:sz w:val="32"/>
        </w:rPr>
        <w:t>公路</w:t>
      </w:r>
      <w:r>
        <w:rPr>
          <w:rFonts w:hint="eastAsia" w:ascii="仿宋_GB2312" w:hAnsi="仿宋_GB2312"/>
          <w:sz w:val="32"/>
          <w:lang w:eastAsia="zh-CN"/>
        </w:rPr>
        <w:t>在建</w:t>
      </w:r>
      <w:r>
        <w:rPr>
          <w:rFonts w:hint="eastAsia" w:ascii="仿宋_GB2312" w:hAnsi="仿宋_GB2312" w:eastAsia="仿宋_GB2312"/>
          <w:sz w:val="32"/>
        </w:rPr>
        <w:t>工程</w:t>
      </w:r>
      <w:r>
        <w:rPr>
          <w:rFonts w:hint="eastAsia" w:ascii="仿宋_GB2312" w:hAnsi="仿宋_GB2312"/>
          <w:sz w:val="32"/>
          <w:lang w:eastAsia="zh-CN"/>
        </w:rPr>
        <w:t>扬尘管理</w:t>
      </w:r>
      <w:r>
        <w:rPr>
          <w:rFonts w:hint="eastAsia" w:ascii="仿宋_GB2312" w:hAnsi="仿宋_GB2312" w:eastAsia="仿宋_GB2312"/>
          <w:sz w:val="32"/>
        </w:rPr>
        <w:t>、</w:t>
      </w:r>
      <w:r>
        <w:rPr>
          <w:rFonts w:hint="eastAsia" w:ascii="仿宋_GB2312" w:hAnsi="仿宋_GB2312"/>
          <w:sz w:val="32"/>
          <w:lang w:eastAsia="zh-CN"/>
        </w:rPr>
        <w:t>辖区</w:t>
      </w:r>
      <w:r>
        <w:rPr>
          <w:rFonts w:hint="eastAsia" w:ascii="仿宋_GB2312" w:hAnsi="仿宋_GB2312" w:eastAsia="仿宋_GB2312"/>
          <w:sz w:val="32"/>
        </w:rPr>
        <w:t>公路</w:t>
      </w:r>
      <w:r>
        <w:rPr>
          <w:rFonts w:hint="eastAsia" w:ascii="仿宋_GB2312" w:hAnsi="仿宋_GB2312"/>
          <w:sz w:val="32"/>
          <w:lang w:eastAsia="zh-CN"/>
        </w:rPr>
        <w:t>的保养保洁管理等方面</w:t>
      </w:r>
      <w:r>
        <w:rPr>
          <w:rFonts w:hint="eastAsia" w:ascii="仿宋_GB2312" w:hAnsi="仿宋_GB2312" w:eastAsia="仿宋_GB2312"/>
          <w:sz w:val="32"/>
        </w:rPr>
        <w:t>，</w:t>
      </w:r>
      <w:r>
        <w:rPr>
          <w:rFonts w:hint="eastAsia" w:ascii="仿宋" w:hAnsi="仿宋" w:eastAsia="仿宋" w:cs="仿宋_GB2312"/>
          <w:sz w:val="32"/>
          <w:szCs w:val="32"/>
        </w:rPr>
        <w:t>环节众多、</w:t>
      </w:r>
      <w:r>
        <w:rPr>
          <w:rFonts w:hint="eastAsia" w:ascii="仿宋" w:hAnsi="仿宋" w:eastAsia="仿宋" w:cs="仿宋_GB2312"/>
          <w:sz w:val="32"/>
          <w:szCs w:val="32"/>
          <w:lang w:eastAsia="zh-CN"/>
        </w:rPr>
        <w:t>涉及范围广</w:t>
      </w:r>
      <w:r>
        <w:rPr>
          <w:rFonts w:hint="eastAsia" w:ascii="仿宋" w:hAnsi="仿宋" w:eastAsia="仿宋" w:cs="仿宋_GB2312"/>
          <w:sz w:val="32"/>
          <w:szCs w:val="32"/>
        </w:rPr>
        <w:t>。我们根据交通</w:t>
      </w:r>
      <w:r>
        <w:rPr>
          <w:rFonts w:hint="eastAsia" w:ascii="仿宋" w:hAnsi="仿宋" w:eastAsia="仿宋" w:cs="仿宋_GB2312"/>
          <w:sz w:val="32"/>
          <w:szCs w:val="32"/>
          <w:lang w:eastAsia="zh-CN"/>
        </w:rPr>
        <w:t>环保工作</w:t>
      </w:r>
      <w:r>
        <w:rPr>
          <w:rFonts w:hint="eastAsia" w:ascii="仿宋" w:hAnsi="仿宋" w:eastAsia="仿宋" w:cs="仿宋_GB2312"/>
          <w:sz w:val="32"/>
          <w:szCs w:val="32"/>
        </w:rPr>
        <w:t>的特点、方式和目标，选取了</w:t>
      </w:r>
      <w:r>
        <w:rPr>
          <w:rFonts w:hint="eastAsia" w:ascii="仿宋" w:hAnsi="仿宋" w:eastAsia="仿宋" w:cs="仿宋_GB2312"/>
          <w:sz w:val="32"/>
          <w:szCs w:val="32"/>
          <w:lang w:eastAsia="zh-CN"/>
        </w:rPr>
        <w:t>汽修环保、道路扬尘、工地除尘、公众满意度等九</w:t>
      </w:r>
      <w:r>
        <w:rPr>
          <w:rFonts w:hint="eastAsia" w:ascii="仿宋" w:hAnsi="仿宋" w:eastAsia="仿宋" w:cs="仿宋_GB2312"/>
          <w:sz w:val="32"/>
          <w:szCs w:val="32"/>
        </w:rPr>
        <w:t>个三级指标进行评价，评价方法包括现场查看、走访</w:t>
      </w:r>
      <w:r>
        <w:rPr>
          <w:rFonts w:hint="eastAsia" w:ascii="仿宋" w:hAnsi="仿宋" w:eastAsia="仿宋" w:cs="仿宋_GB2312"/>
          <w:sz w:val="32"/>
          <w:szCs w:val="32"/>
          <w:lang w:eastAsia="zh-CN"/>
        </w:rPr>
        <w:t>群众</w:t>
      </w:r>
      <w:r>
        <w:rPr>
          <w:rFonts w:hint="eastAsia" w:ascii="仿宋" w:hAnsi="仿宋" w:eastAsia="仿宋" w:cs="仿宋_GB2312"/>
          <w:sz w:val="32"/>
          <w:szCs w:val="32"/>
        </w:rPr>
        <w:t>、检查资料等方式。</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w:t>
      </w:r>
      <w:r>
        <w:rPr>
          <w:rFonts w:ascii="仿宋" w:hAnsi="仿宋" w:eastAsia="仿宋" w:cs="仿宋_GB2312"/>
          <w:sz w:val="32"/>
          <w:szCs w:val="32"/>
        </w:rPr>
        <w:t>、评价结论及绩效分析</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（一）评价结论</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绩效评价小组按照要求对各项指标进行了认真、细致的评价，给予该</w:t>
      </w:r>
      <w:r>
        <w:rPr>
          <w:rFonts w:ascii="仿宋" w:hAnsi="仿宋" w:eastAsia="仿宋" w:cs="仿宋_GB2312"/>
          <w:sz w:val="32"/>
          <w:szCs w:val="32"/>
        </w:rPr>
        <w:t>项目绩效评价总体</w:t>
      </w:r>
      <w:r>
        <w:rPr>
          <w:rFonts w:hint="eastAsia" w:ascii="仿宋" w:hAnsi="仿宋" w:eastAsia="仿宋" w:cs="仿宋_GB2312"/>
          <w:sz w:val="32"/>
          <w:szCs w:val="32"/>
        </w:rPr>
        <w:t>良好的</w:t>
      </w:r>
      <w:r>
        <w:rPr>
          <w:rFonts w:ascii="仿宋" w:hAnsi="仿宋" w:eastAsia="仿宋" w:cs="仿宋_GB2312"/>
          <w:sz w:val="32"/>
          <w:szCs w:val="32"/>
        </w:rPr>
        <w:t>结论</w:t>
      </w:r>
      <w:r>
        <w:rPr>
          <w:rFonts w:hint="eastAsia" w:ascii="仿宋" w:hAnsi="仿宋" w:eastAsia="仿宋" w:cs="仿宋_GB2312"/>
          <w:sz w:val="32"/>
          <w:szCs w:val="32"/>
        </w:rPr>
        <w:t>，评价得分为95分。</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（二）绩效分析</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1、项目决策</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随着经济社会的发展，人民群众对生产生活各方面的舒适、安全</w:t>
      </w:r>
      <w:r>
        <w:rPr>
          <w:rFonts w:hint="eastAsia" w:ascii="仿宋" w:hAnsi="仿宋" w:eastAsia="仿宋" w:cs="仿宋_GB2312"/>
          <w:sz w:val="32"/>
          <w:szCs w:val="32"/>
          <w:lang w:eastAsia="zh-CN"/>
        </w:rPr>
        <w:t>、环保</w:t>
      </w:r>
      <w:r>
        <w:rPr>
          <w:rFonts w:hint="eastAsia" w:ascii="仿宋" w:hAnsi="仿宋" w:eastAsia="仿宋" w:cs="仿宋_GB2312"/>
          <w:sz w:val="32"/>
          <w:szCs w:val="32"/>
        </w:rPr>
        <w:t>的要求越来越高，</w:t>
      </w:r>
      <w:r>
        <w:rPr>
          <w:rFonts w:hint="eastAsia" w:ascii="仿宋" w:hAnsi="仿宋" w:eastAsia="仿宋" w:cs="仿宋_GB2312"/>
          <w:sz w:val="32"/>
          <w:szCs w:val="32"/>
          <w:lang w:eastAsia="zh-CN"/>
        </w:rPr>
        <w:t>环境保护</w:t>
      </w:r>
      <w:r>
        <w:rPr>
          <w:rFonts w:hint="eastAsia" w:ascii="仿宋" w:hAnsi="仿宋" w:eastAsia="仿宋" w:cs="仿宋_GB2312"/>
          <w:sz w:val="32"/>
          <w:szCs w:val="32"/>
        </w:rPr>
        <w:t>监管成为了地方政府和政府部门工作中的重中之重。</w:t>
      </w:r>
      <w:r>
        <w:rPr>
          <w:rFonts w:hint="eastAsia" w:ascii="仿宋_GB2312" w:hAnsi="仿宋_GB2312" w:eastAsia="仿宋_GB2312"/>
          <w:sz w:val="32"/>
        </w:rPr>
        <w:t>交通运输系统的</w:t>
      </w:r>
      <w:r>
        <w:rPr>
          <w:rFonts w:hint="eastAsia" w:ascii="仿宋_GB2312" w:hAnsi="仿宋_GB2312"/>
          <w:sz w:val="32"/>
          <w:lang w:eastAsia="zh-CN"/>
        </w:rPr>
        <w:t>环节保护</w:t>
      </w:r>
      <w:r>
        <w:rPr>
          <w:rFonts w:hint="eastAsia" w:ascii="仿宋_GB2312" w:hAnsi="仿宋_GB2312" w:eastAsia="仿宋_GB2312"/>
          <w:sz w:val="32"/>
        </w:rPr>
        <w:t>管理具有涉及面广，影响因素复杂，动态变化大，</w:t>
      </w:r>
      <w:r>
        <w:rPr>
          <w:rFonts w:hint="eastAsia" w:ascii="仿宋_GB2312" w:hAnsi="仿宋_GB2312"/>
          <w:sz w:val="32"/>
          <w:lang w:eastAsia="zh-CN"/>
        </w:rPr>
        <w:t>污染治理困难</w:t>
      </w:r>
      <w:r>
        <w:rPr>
          <w:rFonts w:hint="eastAsia" w:ascii="仿宋_GB2312" w:hAnsi="仿宋_GB2312" w:eastAsia="仿宋_GB2312"/>
          <w:sz w:val="32"/>
        </w:rPr>
        <w:t>，管控压力大等特点，在开展</w:t>
      </w:r>
      <w:r>
        <w:rPr>
          <w:rFonts w:hint="eastAsia" w:ascii="仿宋_GB2312" w:hAnsi="仿宋_GB2312"/>
          <w:sz w:val="32"/>
          <w:lang w:eastAsia="zh-CN"/>
        </w:rPr>
        <w:t>环保</w:t>
      </w:r>
      <w:r>
        <w:rPr>
          <w:rFonts w:hint="eastAsia" w:ascii="仿宋_GB2312" w:hAnsi="仿宋_GB2312" w:eastAsia="仿宋_GB2312"/>
          <w:sz w:val="32"/>
        </w:rPr>
        <w:t>排查治理、</w:t>
      </w:r>
      <w:r>
        <w:rPr>
          <w:rFonts w:hint="eastAsia" w:ascii="仿宋_GB2312" w:hAnsi="仿宋_GB2312"/>
          <w:sz w:val="32"/>
          <w:lang w:eastAsia="zh-CN"/>
        </w:rPr>
        <w:t>环境保护</w:t>
      </w:r>
      <w:r>
        <w:rPr>
          <w:rFonts w:hint="eastAsia" w:ascii="仿宋_GB2312" w:hAnsi="仿宋_GB2312" w:eastAsia="仿宋_GB2312"/>
          <w:sz w:val="32"/>
        </w:rPr>
        <w:t>培训、</w:t>
      </w:r>
      <w:r>
        <w:rPr>
          <w:rFonts w:hint="eastAsia" w:ascii="仿宋_GB2312" w:hAnsi="仿宋_GB2312"/>
          <w:sz w:val="32"/>
          <w:lang w:eastAsia="zh-CN"/>
        </w:rPr>
        <w:t>问题处置</w:t>
      </w:r>
      <w:r>
        <w:rPr>
          <w:rFonts w:hint="eastAsia" w:ascii="仿宋_GB2312" w:hAnsi="仿宋_GB2312" w:eastAsia="仿宋_GB2312"/>
          <w:sz w:val="32"/>
        </w:rPr>
        <w:t>等方面的工作量及工作力度</w:t>
      </w:r>
      <w:r>
        <w:rPr>
          <w:rFonts w:hint="eastAsia" w:ascii="仿宋_GB2312" w:hAnsi="仿宋_GB2312"/>
          <w:sz w:val="32"/>
          <w:lang w:eastAsia="zh-CN"/>
        </w:rPr>
        <w:t>较大</w:t>
      </w:r>
      <w:r>
        <w:rPr>
          <w:rFonts w:hint="eastAsia" w:ascii="仿宋_GB2312" w:hAnsi="仿宋_GB2312" w:eastAsia="仿宋_GB2312"/>
          <w:sz w:val="32"/>
        </w:rPr>
        <w:t>，目前</w:t>
      </w:r>
      <w:r>
        <w:rPr>
          <w:rFonts w:hint="eastAsia" w:ascii="仿宋_GB2312" w:hAnsi="仿宋_GB2312"/>
          <w:sz w:val="32"/>
          <w:lang w:eastAsia="zh-CN"/>
        </w:rPr>
        <w:t>在环保监管方面</w:t>
      </w:r>
      <w:r>
        <w:rPr>
          <w:rFonts w:hint="eastAsia" w:ascii="仿宋_GB2312" w:hAnsi="仿宋_GB2312" w:eastAsia="仿宋_GB2312"/>
          <w:sz w:val="32"/>
        </w:rPr>
        <w:t>缺乏经费保障，标准化、信息化、规范化程度不足，</w:t>
      </w:r>
      <w:r>
        <w:rPr>
          <w:rFonts w:hint="eastAsia" w:ascii="仿宋_GB2312" w:hAnsi="仿宋_GB2312"/>
          <w:sz w:val="32"/>
          <w:lang w:eastAsia="zh-CN"/>
        </w:rPr>
        <w:t>环保</w:t>
      </w:r>
      <w:r>
        <w:rPr>
          <w:rFonts w:hint="eastAsia" w:ascii="仿宋_GB2312" w:hAnsi="仿宋_GB2312" w:eastAsia="仿宋_GB2312"/>
          <w:sz w:val="32"/>
        </w:rPr>
        <w:t>监管工作亟待加强。在加强基础工作的同时，需重点强化</w:t>
      </w:r>
      <w:r>
        <w:rPr>
          <w:rFonts w:hint="eastAsia" w:ascii="仿宋_GB2312" w:hAnsi="仿宋_GB2312"/>
          <w:sz w:val="32"/>
          <w:lang w:eastAsia="zh-CN"/>
        </w:rPr>
        <w:t>环保宣传</w:t>
      </w:r>
      <w:r>
        <w:rPr>
          <w:rFonts w:hint="eastAsia" w:ascii="仿宋_GB2312" w:hAnsi="仿宋_GB2312" w:eastAsia="仿宋_GB2312"/>
          <w:sz w:val="32"/>
        </w:rPr>
        <w:t>培训、隐患排查治理和监督检查等工作。</w:t>
      </w:r>
      <w:r>
        <w:rPr>
          <w:rFonts w:hint="eastAsia" w:ascii="仿宋" w:hAnsi="仿宋" w:eastAsia="仿宋" w:cs="仿宋_GB2312"/>
          <w:sz w:val="32"/>
          <w:szCs w:val="32"/>
        </w:rPr>
        <w:t>本项目的绩效目标主要根据《</w:t>
      </w:r>
      <w:r>
        <w:rPr>
          <w:rFonts w:hint="eastAsia" w:ascii="仿宋" w:hAnsi="仿宋" w:eastAsia="仿宋" w:cs="仿宋_GB2312"/>
          <w:sz w:val="32"/>
          <w:szCs w:val="32"/>
          <w:lang w:eastAsia="zh-CN"/>
        </w:rPr>
        <w:t>环境保护法</w:t>
      </w:r>
      <w:r>
        <w:rPr>
          <w:rFonts w:hint="eastAsia" w:ascii="仿宋" w:hAnsi="仿宋" w:eastAsia="仿宋" w:cs="仿宋_GB2312"/>
          <w:sz w:val="32"/>
          <w:szCs w:val="32"/>
        </w:rPr>
        <w:t>》</w:t>
      </w:r>
      <w:r>
        <w:rPr>
          <w:rFonts w:hint="eastAsia" w:ascii="仿宋" w:hAnsi="仿宋" w:eastAsia="仿宋" w:cs="仿宋_GB2312"/>
          <w:sz w:val="32"/>
          <w:szCs w:val="32"/>
          <w:lang w:eastAsia="zh-CN"/>
        </w:rPr>
        <w:t>、《公路法》、《固废法》</w:t>
      </w:r>
      <w:r>
        <w:rPr>
          <w:rFonts w:hint="eastAsia" w:ascii="仿宋" w:hAnsi="仿宋" w:eastAsia="仿宋" w:cs="仿宋_GB2312"/>
          <w:sz w:val="32"/>
          <w:szCs w:val="32"/>
        </w:rPr>
        <w:t>等制度的要求和可操作性来进行设置。</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2、项目管理</w:t>
      </w:r>
    </w:p>
    <w:p>
      <w:pPr>
        <w:spacing w:line="58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区财政下达交通</w:t>
      </w:r>
      <w:r>
        <w:rPr>
          <w:rFonts w:hint="eastAsia" w:ascii="仿宋" w:hAnsi="仿宋" w:eastAsia="仿宋" w:cs="仿宋_GB2312"/>
          <w:sz w:val="32"/>
          <w:szCs w:val="32"/>
          <w:lang w:eastAsia="zh-CN"/>
        </w:rPr>
        <w:t>环保专项工作</w:t>
      </w:r>
      <w:r>
        <w:rPr>
          <w:rFonts w:hint="eastAsia" w:ascii="仿宋" w:hAnsi="仿宋" w:eastAsia="仿宋" w:cs="仿宋_GB2312"/>
          <w:sz w:val="32"/>
          <w:szCs w:val="32"/>
        </w:rPr>
        <w:t>项目预算</w:t>
      </w:r>
      <w:r>
        <w:rPr>
          <w:rFonts w:ascii="仿宋" w:hAnsi="仿宋" w:eastAsia="仿宋" w:cs="仿宋_GB2312"/>
          <w:sz w:val="32"/>
          <w:szCs w:val="32"/>
        </w:rPr>
        <w:t>资金</w:t>
      </w:r>
      <w:r>
        <w:rPr>
          <w:rFonts w:hint="eastAsia" w:ascii="仿宋" w:hAnsi="仿宋" w:eastAsia="仿宋" w:cs="仿宋_GB2312"/>
          <w:sz w:val="32"/>
          <w:szCs w:val="32"/>
          <w:lang w:val="en-US" w:eastAsia="zh-CN"/>
        </w:rPr>
        <w:t xml:space="preserve">   </w:t>
      </w:r>
      <w:r>
        <w:rPr>
          <w:rFonts w:hint="eastAsia" w:ascii="仿宋" w:hAnsi="仿宋" w:eastAsia="仿宋" w:cs="仿宋_GB2312"/>
          <w:sz w:val="32"/>
          <w:szCs w:val="32"/>
        </w:rPr>
        <w:t>万元。区交通局成立</w:t>
      </w:r>
      <w:r>
        <w:rPr>
          <w:rFonts w:hint="eastAsia" w:ascii="仿宋" w:hAnsi="仿宋" w:eastAsia="仿宋" w:cs="仿宋_GB2312"/>
          <w:sz w:val="32"/>
          <w:szCs w:val="32"/>
          <w:lang w:eastAsia="zh-CN"/>
        </w:rPr>
        <w:t>环保工作领导小组，定期召开环保工作专题会议、安排部署、研究环境保护工作，</w:t>
      </w:r>
      <w:r>
        <w:rPr>
          <w:rFonts w:hint="eastAsia" w:ascii="仿宋" w:hAnsi="仿宋" w:eastAsia="仿宋" w:cs="仿宋_GB2312"/>
          <w:sz w:val="32"/>
          <w:szCs w:val="32"/>
        </w:rPr>
        <w:t>举办有相关部门、企业</w:t>
      </w:r>
      <w:r>
        <w:rPr>
          <w:rFonts w:hint="eastAsia" w:ascii="仿宋" w:hAnsi="仿宋" w:eastAsia="仿宋" w:cs="仿宋_GB2312"/>
          <w:sz w:val="32"/>
          <w:szCs w:val="32"/>
          <w:lang w:eastAsia="zh-CN"/>
        </w:rPr>
        <w:t>环保</w:t>
      </w:r>
      <w:r>
        <w:rPr>
          <w:rFonts w:hint="eastAsia" w:ascii="仿宋" w:hAnsi="仿宋" w:eastAsia="仿宋" w:cs="仿宋_GB2312"/>
          <w:sz w:val="32"/>
          <w:szCs w:val="32"/>
        </w:rPr>
        <w:t>管理人员参加的</w:t>
      </w:r>
      <w:r>
        <w:rPr>
          <w:rFonts w:hint="eastAsia" w:ascii="仿宋" w:hAnsi="仿宋" w:eastAsia="仿宋" w:cs="仿宋_GB2312"/>
          <w:sz w:val="32"/>
          <w:szCs w:val="32"/>
          <w:lang w:eastAsia="zh-CN"/>
        </w:rPr>
        <w:t>环境保护</w:t>
      </w:r>
      <w:r>
        <w:rPr>
          <w:rFonts w:hint="eastAsia" w:ascii="仿宋" w:hAnsi="仿宋" w:eastAsia="仿宋" w:cs="仿宋_GB2312"/>
          <w:sz w:val="32"/>
          <w:szCs w:val="32"/>
        </w:rPr>
        <w:t>培训会，开展</w:t>
      </w:r>
      <w:r>
        <w:rPr>
          <w:rFonts w:hint="eastAsia" w:ascii="仿宋" w:hAnsi="仿宋" w:eastAsia="仿宋" w:cs="仿宋_GB2312"/>
          <w:sz w:val="32"/>
          <w:szCs w:val="32"/>
          <w:lang w:eastAsia="zh-CN"/>
        </w:rPr>
        <w:t>环境保护</w:t>
      </w:r>
      <w:r>
        <w:rPr>
          <w:rFonts w:hint="eastAsia" w:ascii="仿宋" w:hAnsi="仿宋" w:eastAsia="仿宋" w:cs="仿宋_GB2312"/>
          <w:sz w:val="32"/>
          <w:szCs w:val="32"/>
        </w:rPr>
        <w:t>宣传教育工作，并每周均开展日常</w:t>
      </w:r>
      <w:r>
        <w:rPr>
          <w:rFonts w:hint="eastAsia" w:ascii="仿宋" w:hAnsi="仿宋" w:eastAsia="仿宋" w:cs="仿宋_GB2312"/>
          <w:sz w:val="32"/>
          <w:szCs w:val="32"/>
          <w:lang w:eastAsia="zh-CN"/>
        </w:rPr>
        <w:t>环保</w:t>
      </w:r>
      <w:r>
        <w:rPr>
          <w:rFonts w:hint="eastAsia" w:ascii="仿宋" w:hAnsi="仿宋" w:eastAsia="仿宋" w:cs="仿宋_GB2312"/>
          <w:sz w:val="32"/>
          <w:szCs w:val="32"/>
        </w:rPr>
        <w:t>检查，及时处置</w:t>
      </w:r>
      <w:r>
        <w:rPr>
          <w:rFonts w:hint="eastAsia" w:ascii="仿宋" w:hAnsi="仿宋" w:eastAsia="仿宋" w:cs="仿宋_GB2312"/>
          <w:sz w:val="32"/>
          <w:szCs w:val="32"/>
          <w:lang w:eastAsia="zh-CN"/>
        </w:rPr>
        <w:t>群众反映、举报的问题，让环境污染问题不出现在交通管辖范围内</w:t>
      </w:r>
      <w:r>
        <w:rPr>
          <w:rFonts w:hint="eastAsia" w:ascii="仿宋" w:hAnsi="仿宋" w:eastAsia="仿宋" w:cs="仿宋_GB2312"/>
          <w:sz w:val="32"/>
          <w:szCs w:val="32"/>
        </w:rPr>
        <w:t>。</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3、项目绩效</w:t>
      </w:r>
    </w:p>
    <w:p>
      <w:pPr>
        <w:spacing w:line="58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由于保障较好，工作较扎实，措施得当，全区交通</w:t>
      </w:r>
      <w:r>
        <w:rPr>
          <w:rFonts w:hint="eastAsia" w:ascii="仿宋" w:hAnsi="仿宋" w:eastAsia="仿宋" w:cs="仿宋_GB2312"/>
          <w:sz w:val="32"/>
          <w:szCs w:val="32"/>
          <w:lang w:eastAsia="zh-CN"/>
        </w:rPr>
        <w:t>环保工作成效显著，未出现较严重的环境污染事件</w:t>
      </w:r>
      <w:r>
        <w:rPr>
          <w:rFonts w:hint="eastAsia" w:ascii="仿宋" w:hAnsi="仿宋" w:eastAsia="仿宋" w:cs="仿宋_GB2312"/>
          <w:sz w:val="32"/>
          <w:szCs w:val="32"/>
        </w:rPr>
        <w:t>。全年举行各项</w:t>
      </w:r>
      <w:r>
        <w:rPr>
          <w:rFonts w:hint="eastAsia" w:ascii="仿宋" w:hAnsi="仿宋" w:eastAsia="仿宋" w:cs="仿宋_GB2312"/>
          <w:sz w:val="32"/>
          <w:szCs w:val="32"/>
          <w:lang w:eastAsia="zh-CN"/>
        </w:rPr>
        <w:t>环保工作</w:t>
      </w:r>
      <w:r>
        <w:rPr>
          <w:rFonts w:hint="eastAsia" w:ascii="仿宋" w:hAnsi="仿宋" w:eastAsia="仿宋" w:cs="仿宋_GB2312"/>
          <w:sz w:val="32"/>
          <w:szCs w:val="32"/>
        </w:rPr>
        <w:t>会议</w:t>
      </w:r>
      <w:r>
        <w:rPr>
          <w:rFonts w:hint="eastAsia" w:ascii="仿宋" w:hAnsi="仿宋" w:eastAsia="仿宋" w:cs="仿宋_GB2312"/>
          <w:sz w:val="32"/>
          <w:szCs w:val="32"/>
          <w:lang w:val="en-US" w:eastAsia="zh-CN"/>
        </w:rPr>
        <w:t>8</w:t>
      </w:r>
      <w:r>
        <w:rPr>
          <w:rFonts w:hint="eastAsia" w:ascii="仿宋" w:hAnsi="仿宋" w:eastAsia="仿宋" w:cs="仿宋_GB2312"/>
          <w:sz w:val="32"/>
          <w:szCs w:val="32"/>
        </w:rPr>
        <w:t>次，开展各项</w:t>
      </w:r>
      <w:r>
        <w:rPr>
          <w:rFonts w:hint="eastAsia" w:ascii="仿宋" w:hAnsi="仿宋" w:eastAsia="仿宋" w:cs="仿宋_GB2312"/>
          <w:sz w:val="32"/>
          <w:szCs w:val="32"/>
          <w:lang w:eastAsia="zh-CN"/>
        </w:rPr>
        <w:t>环保</w:t>
      </w:r>
      <w:r>
        <w:rPr>
          <w:rFonts w:hint="eastAsia" w:ascii="仿宋" w:hAnsi="仿宋" w:eastAsia="仿宋" w:cs="仿宋_GB2312"/>
          <w:sz w:val="32"/>
          <w:szCs w:val="32"/>
        </w:rPr>
        <w:t>检查</w:t>
      </w:r>
      <w:r>
        <w:rPr>
          <w:rFonts w:hint="eastAsia" w:ascii="仿宋" w:hAnsi="仿宋" w:eastAsia="仿宋" w:cs="仿宋_GB2312"/>
          <w:sz w:val="32"/>
          <w:szCs w:val="32"/>
          <w:lang w:val="en-US" w:eastAsia="zh-CN"/>
        </w:rPr>
        <w:t>250</w:t>
      </w:r>
      <w:r>
        <w:rPr>
          <w:rFonts w:hint="eastAsia" w:ascii="仿宋" w:hAnsi="仿宋" w:eastAsia="仿宋" w:cs="仿宋_GB2312"/>
          <w:sz w:val="32"/>
          <w:szCs w:val="32"/>
        </w:rPr>
        <w:t>余人次，开展</w:t>
      </w:r>
      <w:r>
        <w:rPr>
          <w:rFonts w:hint="eastAsia" w:ascii="仿宋" w:hAnsi="仿宋" w:eastAsia="仿宋" w:cs="仿宋_GB2312"/>
          <w:sz w:val="32"/>
          <w:szCs w:val="32"/>
          <w:lang w:eastAsia="zh-CN"/>
        </w:rPr>
        <w:t>环境保护</w:t>
      </w:r>
      <w:r>
        <w:rPr>
          <w:rFonts w:hint="eastAsia" w:ascii="仿宋" w:hAnsi="仿宋" w:eastAsia="仿宋" w:cs="仿宋_GB2312"/>
          <w:sz w:val="32"/>
          <w:szCs w:val="32"/>
        </w:rPr>
        <w:t>宣传教育5次，举办</w:t>
      </w:r>
      <w:r>
        <w:rPr>
          <w:rFonts w:hint="eastAsia" w:ascii="仿宋" w:hAnsi="仿宋" w:eastAsia="仿宋" w:cs="仿宋_GB2312"/>
          <w:sz w:val="32"/>
          <w:szCs w:val="32"/>
          <w:lang w:eastAsia="zh-CN"/>
        </w:rPr>
        <w:t>环保</w:t>
      </w:r>
      <w:r>
        <w:rPr>
          <w:rFonts w:hint="eastAsia" w:ascii="仿宋" w:hAnsi="仿宋" w:eastAsia="仿宋" w:cs="仿宋_GB2312"/>
          <w:sz w:val="32"/>
          <w:szCs w:val="32"/>
        </w:rPr>
        <w:t>培训</w:t>
      </w:r>
      <w:r>
        <w:rPr>
          <w:rFonts w:hint="eastAsia" w:ascii="仿宋" w:hAnsi="仿宋" w:eastAsia="仿宋" w:cs="仿宋_GB2312"/>
          <w:sz w:val="32"/>
          <w:szCs w:val="32"/>
          <w:lang w:eastAsia="zh-CN"/>
        </w:rPr>
        <w:t>会</w:t>
      </w:r>
      <w:r>
        <w:rPr>
          <w:rFonts w:hint="eastAsia" w:ascii="仿宋" w:hAnsi="仿宋" w:eastAsia="仿宋" w:cs="仿宋_GB2312"/>
          <w:sz w:val="32"/>
          <w:szCs w:val="32"/>
        </w:rPr>
        <w:t>两次，节假日、“两会”等重要时段加强监管密度和力度并安排、陪同市区相关领导开展</w:t>
      </w:r>
      <w:r>
        <w:rPr>
          <w:rFonts w:hint="eastAsia" w:ascii="仿宋" w:hAnsi="仿宋" w:eastAsia="仿宋" w:cs="仿宋_GB2312"/>
          <w:sz w:val="32"/>
          <w:szCs w:val="32"/>
          <w:lang w:eastAsia="zh-CN"/>
        </w:rPr>
        <w:t>环保</w:t>
      </w:r>
      <w:r>
        <w:rPr>
          <w:rFonts w:hint="eastAsia" w:ascii="仿宋" w:hAnsi="仿宋" w:eastAsia="仿宋" w:cs="仿宋_GB2312"/>
          <w:sz w:val="32"/>
          <w:szCs w:val="32"/>
        </w:rPr>
        <w:t>检查，</w:t>
      </w:r>
      <w:r>
        <w:rPr>
          <w:rFonts w:hint="eastAsia" w:ascii="仿宋" w:hAnsi="仿宋" w:eastAsia="仿宋" w:cs="仿宋_GB2312"/>
          <w:sz w:val="32"/>
          <w:szCs w:val="32"/>
          <w:lang w:eastAsia="zh-CN"/>
        </w:rPr>
        <w:t>加强日常保洁巡查、全力保障道路整洁畅通</w:t>
      </w:r>
      <w:r>
        <w:rPr>
          <w:rFonts w:hint="eastAsia" w:ascii="仿宋" w:hAnsi="仿宋" w:eastAsia="仿宋" w:cs="仿宋_GB2312"/>
          <w:sz w:val="32"/>
          <w:szCs w:val="32"/>
        </w:rPr>
        <w:t>，及时稳妥地排查、整治</w:t>
      </w:r>
      <w:r>
        <w:rPr>
          <w:rFonts w:hint="eastAsia" w:ascii="仿宋" w:hAnsi="仿宋" w:eastAsia="仿宋" w:cs="仿宋_GB2312"/>
          <w:sz w:val="32"/>
          <w:szCs w:val="32"/>
          <w:lang w:eastAsia="zh-CN"/>
        </w:rPr>
        <w:t>环保</w:t>
      </w:r>
      <w:r>
        <w:rPr>
          <w:rFonts w:hint="eastAsia" w:ascii="仿宋" w:hAnsi="仿宋" w:eastAsia="仿宋" w:cs="仿宋_GB2312"/>
          <w:sz w:val="32"/>
          <w:szCs w:val="32"/>
        </w:rPr>
        <w:t>隐患</w:t>
      </w:r>
      <w:r>
        <w:rPr>
          <w:rFonts w:hint="eastAsia" w:ascii="仿宋" w:hAnsi="仿宋" w:eastAsia="仿宋" w:cs="仿宋_GB2312"/>
          <w:sz w:val="32"/>
          <w:szCs w:val="32"/>
          <w:lang w:eastAsia="zh-CN"/>
        </w:rPr>
        <w:t>问题</w:t>
      </w:r>
      <w:r>
        <w:rPr>
          <w:rFonts w:hint="eastAsia" w:ascii="仿宋" w:hAnsi="仿宋" w:eastAsia="仿宋" w:cs="仿宋_GB2312"/>
          <w:sz w:val="32"/>
          <w:szCs w:val="32"/>
        </w:rPr>
        <w:t>。区交通局严格按照财政财务规定，全部将</w:t>
      </w:r>
      <w:r>
        <w:rPr>
          <w:rFonts w:hint="eastAsia" w:ascii="仿宋" w:hAnsi="仿宋" w:eastAsia="仿宋" w:cs="仿宋_GB2312"/>
          <w:sz w:val="32"/>
          <w:szCs w:val="32"/>
          <w:lang w:eastAsia="zh-CN"/>
        </w:rPr>
        <w:t>环保</w:t>
      </w:r>
      <w:r>
        <w:rPr>
          <w:rFonts w:hint="eastAsia" w:ascii="仿宋" w:hAnsi="仿宋" w:eastAsia="仿宋" w:cs="仿宋_GB2312"/>
          <w:sz w:val="32"/>
          <w:szCs w:val="32"/>
        </w:rPr>
        <w:t>专项</w:t>
      </w:r>
      <w:r>
        <w:rPr>
          <w:rFonts w:hint="eastAsia" w:ascii="仿宋" w:hAnsi="仿宋" w:eastAsia="仿宋" w:cs="仿宋_GB2312"/>
          <w:sz w:val="32"/>
          <w:szCs w:val="32"/>
          <w:lang w:eastAsia="zh-CN"/>
        </w:rPr>
        <w:t>工作</w:t>
      </w:r>
      <w:r>
        <w:rPr>
          <w:rFonts w:hint="eastAsia" w:ascii="仿宋" w:hAnsi="仿宋" w:eastAsia="仿宋" w:cs="仿宋_GB2312"/>
          <w:sz w:val="32"/>
          <w:szCs w:val="32"/>
        </w:rPr>
        <w:t>经费用于</w:t>
      </w:r>
      <w:r>
        <w:rPr>
          <w:rFonts w:hint="eastAsia" w:ascii="仿宋" w:hAnsi="仿宋" w:eastAsia="仿宋" w:cs="仿宋_GB2312"/>
          <w:sz w:val="32"/>
          <w:szCs w:val="32"/>
          <w:lang w:eastAsia="zh-CN"/>
        </w:rPr>
        <w:t>环保</w:t>
      </w:r>
      <w:r>
        <w:rPr>
          <w:rFonts w:hint="eastAsia" w:ascii="仿宋" w:hAnsi="仿宋" w:eastAsia="仿宋" w:cs="仿宋_GB2312"/>
          <w:sz w:val="32"/>
          <w:szCs w:val="32"/>
        </w:rPr>
        <w:t>监管</w:t>
      </w:r>
      <w:r>
        <w:rPr>
          <w:rFonts w:hint="eastAsia" w:ascii="仿宋" w:hAnsi="仿宋" w:eastAsia="仿宋" w:cs="仿宋_GB2312"/>
          <w:sz w:val="32"/>
          <w:szCs w:val="32"/>
          <w:lang w:eastAsia="zh-CN"/>
        </w:rPr>
        <w:t>督查</w:t>
      </w:r>
      <w:r>
        <w:rPr>
          <w:rFonts w:hint="eastAsia" w:ascii="仿宋" w:hAnsi="仿宋" w:eastAsia="仿宋" w:cs="仿宋_GB2312"/>
          <w:sz w:val="32"/>
          <w:szCs w:val="32"/>
        </w:rPr>
        <w:t>工作，顺利完成各项目标任务。各部门、企业满意度达95%。</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w:t>
      </w:r>
      <w:r>
        <w:rPr>
          <w:rFonts w:ascii="仿宋" w:hAnsi="仿宋" w:eastAsia="仿宋" w:cs="仿宋_GB2312"/>
          <w:sz w:val="32"/>
          <w:szCs w:val="32"/>
        </w:rPr>
        <w:t>、存在主要问题</w:t>
      </w:r>
    </w:p>
    <w:p>
      <w:pPr>
        <w:spacing w:line="58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交通</w:t>
      </w:r>
      <w:r>
        <w:rPr>
          <w:rFonts w:hint="eastAsia" w:ascii="仿宋" w:hAnsi="仿宋" w:eastAsia="仿宋" w:cs="仿宋_GB2312"/>
          <w:sz w:val="32"/>
          <w:szCs w:val="32"/>
          <w:lang w:eastAsia="zh-CN"/>
        </w:rPr>
        <w:t>环保工作</w:t>
      </w:r>
      <w:r>
        <w:rPr>
          <w:rFonts w:hint="eastAsia" w:ascii="仿宋_GB2312" w:hAnsi="仿宋_GB2312" w:eastAsia="仿宋_GB2312"/>
          <w:sz w:val="32"/>
        </w:rPr>
        <w:t>涉及面广，影响因素</w:t>
      </w:r>
      <w:r>
        <w:rPr>
          <w:rFonts w:hint="eastAsia" w:ascii="仿宋_GB2312" w:hAnsi="仿宋_GB2312"/>
          <w:sz w:val="32"/>
          <w:lang w:eastAsia="zh-CN"/>
        </w:rPr>
        <w:t>多</w:t>
      </w:r>
      <w:r>
        <w:rPr>
          <w:rFonts w:hint="eastAsia" w:ascii="仿宋_GB2312" w:hAnsi="仿宋_GB2312" w:eastAsia="仿宋_GB2312"/>
          <w:sz w:val="32"/>
        </w:rPr>
        <w:t>，动态变化大，管控压力大，</w:t>
      </w:r>
      <w:r>
        <w:rPr>
          <w:rFonts w:hint="eastAsia" w:ascii="仿宋" w:hAnsi="仿宋" w:eastAsia="仿宋" w:cs="仿宋_GB2312"/>
          <w:sz w:val="32"/>
          <w:szCs w:val="32"/>
        </w:rPr>
        <w:t>区财政安排的</w:t>
      </w:r>
      <w:r>
        <w:rPr>
          <w:rFonts w:hint="eastAsia" w:ascii="仿宋" w:hAnsi="仿宋" w:eastAsia="仿宋" w:cs="仿宋_GB2312"/>
          <w:sz w:val="32"/>
          <w:szCs w:val="32"/>
          <w:lang w:val="en-US" w:eastAsia="zh-CN"/>
        </w:rPr>
        <w:t>8.18万</w:t>
      </w:r>
      <w:r>
        <w:rPr>
          <w:rFonts w:hint="eastAsia" w:ascii="仿宋" w:hAnsi="仿宋" w:eastAsia="仿宋" w:cs="仿宋_GB2312"/>
          <w:sz w:val="32"/>
          <w:szCs w:val="32"/>
        </w:rPr>
        <w:t>元监管经费</w:t>
      </w:r>
      <w:r>
        <w:rPr>
          <w:rFonts w:hint="eastAsia" w:ascii="仿宋" w:hAnsi="仿宋" w:eastAsia="仿宋" w:cs="仿宋_GB2312"/>
          <w:sz w:val="32"/>
          <w:szCs w:val="32"/>
          <w:lang w:eastAsia="zh-CN"/>
        </w:rPr>
        <w:t>基本</w:t>
      </w:r>
      <w:r>
        <w:rPr>
          <w:rFonts w:hint="eastAsia" w:ascii="仿宋" w:hAnsi="仿宋" w:eastAsia="仿宋" w:cs="仿宋_GB2312"/>
          <w:sz w:val="32"/>
          <w:szCs w:val="32"/>
        </w:rPr>
        <w:t>保障</w:t>
      </w:r>
      <w:r>
        <w:rPr>
          <w:rFonts w:hint="eastAsia" w:ascii="仿宋" w:hAnsi="仿宋" w:eastAsia="仿宋" w:cs="仿宋_GB2312"/>
          <w:sz w:val="32"/>
          <w:szCs w:val="32"/>
          <w:lang w:eastAsia="zh-CN"/>
        </w:rPr>
        <w:t>环保</w:t>
      </w:r>
      <w:r>
        <w:rPr>
          <w:rFonts w:hint="eastAsia" w:ascii="仿宋" w:hAnsi="仿宋" w:eastAsia="仿宋" w:cs="仿宋_GB2312"/>
          <w:sz w:val="32"/>
          <w:szCs w:val="32"/>
        </w:rPr>
        <w:t>宣传教育、</w:t>
      </w:r>
      <w:r>
        <w:rPr>
          <w:rFonts w:hint="eastAsia" w:ascii="仿宋" w:hAnsi="仿宋" w:eastAsia="仿宋" w:cs="仿宋_GB2312"/>
          <w:sz w:val="32"/>
          <w:szCs w:val="32"/>
          <w:lang w:eastAsia="zh-CN"/>
        </w:rPr>
        <w:t>环保</w:t>
      </w:r>
      <w:r>
        <w:rPr>
          <w:rFonts w:hint="eastAsia" w:ascii="仿宋" w:hAnsi="仿宋" w:eastAsia="仿宋" w:cs="仿宋_GB2312"/>
          <w:sz w:val="32"/>
          <w:szCs w:val="32"/>
        </w:rPr>
        <w:t>培训、</w:t>
      </w:r>
      <w:r>
        <w:rPr>
          <w:rFonts w:hint="eastAsia" w:ascii="仿宋" w:hAnsi="仿宋" w:eastAsia="仿宋" w:cs="仿宋_GB2312"/>
          <w:sz w:val="32"/>
          <w:szCs w:val="32"/>
          <w:lang w:eastAsia="zh-CN"/>
        </w:rPr>
        <w:t>督查</w:t>
      </w:r>
      <w:r>
        <w:rPr>
          <w:rFonts w:hint="eastAsia" w:ascii="仿宋" w:hAnsi="仿宋" w:eastAsia="仿宋" w:cs="仿宋_GB2312"/>
          <w:sz w:val="32"/>
          <w:szCs w:val="32"/>
        </w:rPr>
        <w:t>工作的基本开支。但</w:t>
      </w:r>
      <w:r>
        <w:rPr>
          <w:rFonts w:hint="eastAsia" w:ascii="仿宋" w:hAnsi="仿宋" w:eastAsia="仿宋" w:cs="仿宋_GB2312"/>
          <w:sz w:val="32"/>
          <w:szCs w:val="32"/>
          <w:lang w:eastAsia="zh-CN"/>
        </w:rPr>
        <w:t>从交通环保工作来看，环保工作还需做得更深更细更实，还有值得改进的地方。新的一年，区交通局将更加合理地调配人员，合理地安排督查时间和频率，既不增加企业更多负担，又要让企业紧绷环保这根弦，始终重视环保工作，自觉处置环保隐患。</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四</w:t>
      </w:r>
      <w:r>
        <w:rPr>
          <w:rFonts w:ascii="仿宋" w:hAnsi="仿宋" w:eastAsia="仿宋" w:cs="仿宋_GB2312"/>
          <w:sz w:val="32"/>
          <w:szCs w:val="32"/>
        </w:rPr>
        <w:t>、相关措施建议</w:t>
      </w:r>
    </w:p>
    <w:p>
      <w:p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 w:hAnsi="仿宋" w:eastAsia="仿宋" w:cs="仿宋_GB2312"/>
          <w:sz w:val="32"/>
          <w:szCs w:val="32"/>
        </w:rPr>
        <w:t>希望区政府能够高度重视交通</w:t>
      </w:r>
      <w:r>
        <w:rPr>
          <w:rFonts w:hint="eastAsia" w:ascii="仿宋" w:hAnsi="仿宋" w:eastAsia="仿宋" w:cs="仿宋_GB2312"/>
          <w:sz w:val="32"/>
          <w:szCs w:val="32"/>
          <w:lang w:eastAsia="zh-CN"/>
        </w:rPr>
        <w:t>环保</w:t>
      </w:r>
      <w:r>
        <w:rPr>
          <w:rFonts w:hint="eastAsia" w:ascii="仿宋" w:hAnsi="仿宋" w:eastAsia="仿宋" w:cs="仿宋_GB2312"/>
          <w:sz w:val="32"/>
          <w:szCs w:val="32"/>
        </w:rPr>
        <w:t>监管工作，并</w:t>
      </w:r>
      <w:r>
        <w:rPr>
          <w:rFonts w:hint="eastAsia" w:ascii="仿宋" w:hAnsi="仿宋" w:eastAsia="仿宋" w:cs="仿宋_GB2312"/>
          <w:sz w:val="32"/>
          <w:szCs w:val="32"/>
          <w:lang w:eastAsia="zh-CN"/>
        </w:rPr>
        <w:t>继续加强</w:t>
      </w:r>
      <w:r>
        <w:rPr>
          <w:rFonts w:hint="eastAsia" w:ascii="仿宋" w:hAnsi="仿宋" w:eastAsia="仿宋" w:cs="仿宋_GB2312"/>
          <w:sz w:val="32"/>
          <w:szCs w:val="32"/>
        </w:rPr>
        <w:t>保障</w:t>
      </w:r>
      <w:r>
        <w:rPr>
          <w:rFonts w:hint="eastAsia" w:ascii="仿宋" w:hAnsi="仿宋" w:eastAsia="仿宋" w:cs="仿宋_GB2312"/>
          <w:sz w:val="32"/>
          <w:szCs w:val="32"/>
          <w:lang w:eastAsia="zh-CN"/>
        </w:rPr>
        <w:t>力度</w:t>
      </w:r>
      <w:r>
        <w:rPr>
          <w:rFonts w:hint="eastAsia" w:ascii="仿宋" w:hAnsi="仿宋" w:eastAsia="仿宋" w:cs="仿宋_GB2312"/>
          <w:sz w:val="32"/>
          <w:szCs w:val="32"/>
        </w:rPr>
        <w:t>，继续促进交通</w:t>
      </w:r>
      <w:r>
        <w:rPr>
          <w:rFonts w:hint="eastAsia" w:ascii="仿宋" w:hAnsi="仿宋" w:eastAsia="仿宋" w:cs="仿宋_GB2312"/>
          <w:sz w:val="32"/>
          <w:szCs w:val="32"/>
          <w:lang w:eastAsia="zh-CN"/>
        </w:rPr>
        <w:t>环保</w:t>
      </w:r>
      <w:r>
        <w:rPr>
          <w:rFonts w:hint="eastAsia" w:ascii="仿宋" w:hAnsi="仿宋" w:eastAsia="仿宋" w:cs="仿宋_GB2312"/>
          <w:sz w:val="32"/>
          <w:szCs w:val="32"/>
        </w:rPr>
        <w:t>工作迈上新台阶。</w:t>
      </w:r>
    </w:p>
    <w:p>
      <w:pPr>
        <w:spacing w:line="580" w:lineRule="exact"/>
        <w:ind w:firstLine="640"/>
        <w:rPr>
          <w:rFonts w:ascii="仿宋_GB2312" w:hAnsi="仿宋_GB2312" w:eastAsia="仿宋_GB2312" w:cs="仿宋_GB2312"/>
          <w:sz w:val="32"/>
          <w:szCs w:val="32"/>
        </w:rPr>
      </w:pPr>
    </w:p>
    <w:p>
      <w:pPr>
        <w:widowControl/>
        <w:jc w:val="left"/>
        <w:rPr>
          <w:rFonts w:hint="eastAsia" w:ascii="仿宋" w:hAnsi="仿宋" w:eastAsia="仿宋"/>
          <w:b w:val="0"/>
          <w:color w:val="000000"/>
        </w:rPr>
      </w:pPr>
    </w:p>
    <w:p>
      <w:pPr>
        <w:pageBreakBefore w:val="0"/>
        <w:kinsoku/>
        <w:wordWrap/>
        <w:overflowPunct/>
        <w:topLinePunct w:val="0"/>
        <w:bidi w:val="0"/>
        <w:adjustRightInd w:val="0"/>
        <w:snapToGrid w:val="0"/>
        <w:spacing w:line="560" w:lineRule="exact"/>
        <w:ind w:firstLine="880" w:firstLineChars="200"/>
        <w:rPr>
          <w:rStyle w:val="13"/>
          <w:rFonts w:ascii="黑体" w:hAnsi="黑体" w:eastAsia="黑体"/>
          <w:b w:val="0"/>
          <w:color w:val="FF0000"/>
        </w:rPr>
      </w:pPr>
    </w:p>
    <w:p>
      <w:pPr>
        <w:pageBreakBefore w:val="0"/>
        <w:kinsoku/>
        <w:wordWrap/>
        <w:overflowPunct/>
        <w:topLinePunct w:val="0"/>
        <w:bidi w:val="0"/>
        <w:adjustRightInd w:val="0"/>
        <w:snapToGrid w:val="0"/>
        <w:spacing w:line="560" w:lineRule="exact"/>
        <w:jc w:val="center"/>
        <w:rPr>
          <w:rFonts w:ascii="黑体" w:hAnsi="黑体" w:eastAsia="黑体" w:cs="方正小标宋简体"/>
          <w:color w:val="auto"/>
          <w:sz w:val="44"/>
          <w:szCs w:val="44"/>
        </w:rPr>
      </w:pPr>
      <w:r>
        <w:rPr>
          <w:rFonts w:hint="eastAsia" w:ascii="黑体" w:hAnsi="黑体" w:eastAsia="黑体" w:cs="方正小标宋简体"/>
          <w:color w:val="auto"/>
          <w:sz w:val="44"/>
          <w:szCs w:val="44"/>
          <w:lang w:eastAsia="zh-CN"/>
        </w:rPr>
        <w:t>乡</w:t>
      </w:r>
      <w:r>
        <w:rPr>
          <w:rFonts w:hint="eastAsia" w:ascii="黑体" w:hAnsi="黑体" w:eastAsia="黑体" w:cs="方正小标宋简体"/>
          <w:color w:val="auto"/>
          <w:sz w:val="44"/>
          <w:szCs w:val="44"/>
        </w:rPr>
        <w:t>道日常</w:t>
      </w:r>
      <w:r>
        <w:rPr>
          <w:rFonts w:hint="eastAsia" w:ascii="黑体" w:hAnsi="黑体" w:eastAsia="黑体" w:cs="方正小标宋简体"/>
          <w:color w:val="auto"/>
          <w:sz w:val="44"/>
          <w:szCs w:val="44"/>
          <w:lang w:eastAsia="zh-CN"/>
        </w:rPr>
        <w:t>养护</w:t>
      </w:r>
      <w:r>
        <w:rPr>
          <w:rFonts w:hint="eastAsia" w:ascii="黑体" w:hAnsi="黑体" w:eastAsia="黑体" w:cs="方正小标宋简体"/>
          <w:color w:val="auto"/>
          <w:sz w:val="44"/>
          <w:szCs w:val="44"/>
        </w:rPr>
        <w:t>项目</w:t>
      </w:r>
    </w:p>
    <w:p>
      <w:pPr>
        <w:pageBreakBefore w:val="0"/>
        <w:kinsoku/>
        <w:wordWrap/>
        <w:overflowPunct/>
        <w:topLinePunct w:val="0"/>
        <w:bidi w:val="0"/>
        <w:adjustRightInd w:val="0"/>
        <w:snapToGrid w:val="0"/>
        <w:spacing w:line="560" w:lineRule="exact"/>
        <w:jc w:val="center"/>
        <w:rPr>
          <w:rFonts w:ascii="黑体" w:hAnsi="黑体" w:eastAsia="黑体" w:cs="方正小标宋简体"/>
          <w:color w:val="auto"/>
          <w:sz w:val="44"/>
          <w:szCs w:val="44"/>
        </w:rPr>
      </w:pPr>
      <w:r>
        <w:rPr>
          <w:rFonts w:hint="eastAsia" w:ascii="黑体" w:hAnsi="黑体" w:eastAsia="黑体" w:cs="方正小标宋简体"/>
          <w:color w:val="auto"/>
          <w:sz w:val="44"/>
          <w:szCs w:val="44"/>
        </w:rPr>
        <w:t>2020年绩效评价报告</w:t>
      </w:r>
    </w:p>
    <w:p>
      <w:pPr>
        <w:pageBreakBefore w:val="0"/>
        <w:kinsoku/>
        <w:wordWrap/>
        <w:overflowPunct/>
        <w:topLinePunct w:val="0"/>
        <w:bidi w:val="0"/>
        <w:adjustRightInd w:val="0"/>
        <w:snapToGrid w:val="0"/>
        <w:spacing w:line="560" w:lineRule="exact"/>
        <w:ind w:firstLine="640" w:firstLineChars="200"/>
        <w:rPr>
          <w:rFonts w:ascii="仿宋_GB2312" w:hAnsi="仿宋_GB2312" w:cs="仿宋_GB2312"/>
          <w:color w:val="auto"/>
          <w:szCs w:val="32"/>
        </w:rPr>
      </w:pP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w:t>
      </w:r>
      <w:r>
        <w:rPr>
          <w:rFonts w:ascii="仿宋" w:hAnsi="仿宋" w:eastAsia="仿宋" w:cs="仿宋_GB2312"/>
          <w:sz w:val="32"/>
          <w:szCs w:val="32"/>
        </w:rPr>
        <w:t>、评价工作开展及项目情况</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区交通局组建了由办公室、财务室、综合股人员参加的绩效评价小组。由于乡道、村道遍布全区，养护实行“县道县管、乡道乡管、村道村管”的管理体制，由乡镇、村社各自负责乡道、村道的日常管养维护和应急保通保畅工作，区交通局负责养护指导与考核检查工作。养护资金上实行区政府定额补助，补助部分由乡镇、村社自筹解决，每季度检查考核合格后进行补助资金拨付。我们根据养护工作的特点和要求，选取了养护里程、资金到位率、养护质量、养护时间、环境影响、受益群众、沿线群众满意度等七个三级指标进行评价，评价方法包括现场查看、入户走访、检查资料等方式；</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w:t>
      </w:r>
      <w:r>
        <w:rPr>
          <w:rFonts w:ascii="仿宋" w:hAnsi="仿宋" w:eastAsia="仿宋" w:cs="仿宋_GB2312"/>
          <w:sz w:val="32"/>
          <w:szCs w:val="32"/>
        </w:rPr>
        <w:t>、评价结论及绩效分析</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（一）评价结论</w:t>
      </w:r>
    </w:p>
    <w:p>
      <w:pPr>
        <w:spacing w:line="580" w:lineRule="exact"/>
        <w:ind w:firstLine="640" w:firstLineChars="200"/>
        <w:rPr>
          <w:rFonts w:ascii="仿宋" w:hAnsi="仿宋" w:eastAsia="仿宋" w:cs="仿宋_GB2312"/>
          <w:color w:val="FF0000"/>
          <w:sz w:val="32"/>
          <w:szCs w:val="32"/>
        </w:rPr>
      </w:pPr>
      <w:r>
        <w:rPr>
          <w:rFonts w:hint="eastAsia" w:ascii="仿宋" w:hAnsi="仿宋" w:eastAsia="仿宋" w:cs="仿宋_GB2312"/>
          <w:sz w:val="32"/>
          <w:szCs w:val="32"/>
        </w:rPr>
        <w:t>绩效评价小组按照要求对各项指标进行了认真、细致的评价，给予该</w:t>
      </w:r>
      <w:r>
        <w:rPr>
          <w:rFonts w:ascii="仿宋" w:hAnsi="仿宋" w:eastAsia="仿宋" w:cs="仿宋_GB2312"/>
          <w:sz w:val="32"/>
          <w:szCs w:val="32"/>
        </w:rPr>
        <w:t>项目绩效评价总体</w:t>
      </w:r>
      <w:r>
        <w:rPr>
          <w:rFonts w:hint="eastAsia" w:ascii="仿宋" w:hAnsi="仿宋" w:eastAsia="仿宋" w:cs="仿宋_GB2312"/>
          <w:sz w:val="32"/>
          <w:szCs w:val="32"/>
        </w:rPr>
        <w:t>良好的</w:t>
      </w:r>
      <w:r>
        <w:rPr>
          <w:rFonts w:ascii="仿宋" w:hAnsi="仿宋" w:eastAsia="仿宋" w:cs="仿宋_GB2312"/>
          <w:sz w:val="32"/>
          <w:szCs w:val="32"/>
        </w:rPr>
        <w:t>结论</w:t>
      </w:r>
      <w:r>
        <w:rPr>
          <w:rFonts w:hint="eastAsia" w:ascii="仿宋" w:hAnsi="仿宋" w:eastAsia="仿宋" w:cs="仿宋_GB2312"/>
          <w:sz w:val="32"/>
          <w:szCs w:val="32"/>
        </w:rPr>
        <w:t>，评价得分为95分</w:t>
      </w:r>
      <w:r>
        <w:rPr>
          <w:rFonts w:ascii="仿宋" w:hAnsi="仿宋" w:eastAsia="仿宋" w:cs="仿宋_GB2312"/>
          <w:sz w:val="32"/>
          <w:szCs w:val="32"/>
        </w:rPr>
        <w:t>（包括项目评价得分表）</w:t>
      </w:r>
      <w:r>
        <w:rPr>
          <w:rFonts w:hint="eastAsia" w:ascii="仿宋" w:hAnsi="仿宋" w:eastAsia="仿宋" w:cs="仿宋_GB2312"/>
          <w:sz w:val="32"/>
          <w:szCs w:val="32"/>
        </w:rPr>
        <w:t>。</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（二）绩效分析</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1、项目决策</w:t>
      </w:r>
    </w:p>
    <w:p>
      <w:pPr>
        <w:spacing w:line="58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随着经济社会的发展，人民群众对生产生活出行环境的改善越来越高，公路的整洁美观、安全、畅通成为了群众对公路养护的起码要求。同时，由完全由乡镇、村组自行组织养护并承担养护资金的筹集加强了镇、村和居民的负担，但全部由区财政负担也不符合事权财权相统一的要求。由此，2010年，区政府出台了“贡井区农村公路养护管理办法（试行）”（贡府发（2010）97号文），规定对乡镇、村社负责对乡道、村道的养护管理，区政府实行定额补助，并开展检查考核，同时对建立养护机构、完善养护机制建立、养护质量与效果做了明确要求，本项目的绩效目标主要根据该文件的要求和可操作性来进行设置。</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2、项目管理</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区财政下达该项目预算</w:t>
      </w:r>
      <w:r>
        <w:rPr>
          <w:rFonts w:ascii="仿宋" w:hAnsi="仿宋" w:eastAsia="仿宋" w:cs="仿宋_GB2312"/>
          <w:sz w:val="32"/>
          <w:szCs w:val="32"/>
        </w:rPr>
        <w:t>资金</w:t>
      </w:r>
      <w:r>
        <w:rPr>
          <w:rFonts w:hint="eastAsia" w:ascii="仿宋" w:hAnsi="仿宋" w:eastAsia="仿宋" w:cs="仿宋_GB2312"/>
          <w:sz w:val="32"/>
          <w:szCs w:val="32"/>
          <w:lang w:val="en-US" w:eastAsia="zh-CN"/>
        </w:rPr>
        <w:t>77.6</w:t>
      </w:r>
      <w:r>
        <w:rPr>
          <w:rFonts w:hint="eastAsia" w:ascii="仿宋" w:hAnsi="仿宋" w:eastAsia="仿宋" w:cs="仿宋_GB2312"/>
          <w:sz w:val="32"/>
          <w:szCs w:val="32"/>
        </w:rPr>
        <w:t>万元，其中：乡道</w:t>
      </w:r>
      <w:r>
        <w:rPr>
          <w:rFonts w:hint="eastAsia" w:ascii="仿宋" w:hAnsi="仿宋" w:eastAsia="仿宋" w:cs="仿宋_GB2312"/>
          <w:sz w:val="32"/>
          <w:szCs w:val="32"/>
          <w:lang w:val="en-US" w:eastAsia="zh-CN"/>
        </w:rPr>
        <w:t>88</w:t>
      </w:r>
      <w:r>
        <w:rPr>
          <w:rFonts w:hint="eastAsia" w:ascii="仿宋" w:hAnsi="仿宋" w:eastAsia="仿宋" w:cs="仿宋_GB2312"/>
          <w:sz w:val="32"/>
          <w:szCs w:val="32"/>
        </w:rPr>
        <w:t>公里</w:t>
      </w:r>
      <w:r>
        <w:rPr>
          <w:rFonts w:hint="eastAsia" w:ascii="仿宋" w:hAnsi="仿宋" w:eastAsia="仿宋" w:cs="仿宋_GB2312"/>
          <w:sz w:val="32"/>
          <w:szCs w:val="32"/>
          <w:lang w:val="en-US" w:eastAsia="zh-CN"/>
        </w:rPr>
        <w:t>30.8</w:t>
      </w:r>
      <w:r>
        <w:rPr>
          <w:rFonts w:hint="eastAsia" w:ascii="仿宋" w:hAnsi="仿宋" w:eastAsia="仿宋" w:cs="仿宋_GB2312"/>
          <w:sz w:val="32"/>
          <w:szCs w:val="32"/>
        </w:rPr>
        <w:t>万元，村道619.5公里46.8万元。区交通局在年初就召开了养护管理工作会议，对乡村道路养护提出了要求，并开展了每季度一次的养护管理检查考核工作，考核合格才拨付养护资金。由于区交通局措施得当，镇村积极性较高，乡村道路养护管理工作落到了实处，镇村除积极开展日常养护巡查、及时处置险情外，加强了全民爱路护路的宣传，群众的护路意识得到加强，对公路的占道经营、损害公路设施的行为及时上报查处坚决。区交通局根据业务股室的考核情况按照财政规定采用直接支付方式及时拨付养护资金，并对镇村养护资金使用进行了检查，保证了专款专用。</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3、项目绩效</w:t>
      </w:r>
    </w:p>
    <w:p>
      <w:pPr>
        <w:spacing w:line="58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经过区、镇、村的共同努力，全区乡道、村道管理养护工作全面完成，全区</w:t>
      </w:r>
      <w:r>
        <w:rPr>
          <w:rFonts w:hint="eastAsia" w:ascii="仿宋" w:hAnsi="仿宋" w:eastAsia="仿宋" w:cs="仿宋_GB2312"/>
          <w:sz w:val="32"/>
          <w:szCs w:val="32"/>
          <w:lang w:val="en-US" w:eastAsia="zh-CN"/>
        </w:rPr>
        <w:t>88</w:t>
      </w:r>
      <w:r>
        <w:rPr>
          <w:rFonts w:hint="eastAsia" w:ascii="仿宋" w:hAnsi="仿宋" w:eastAsia="仿宋" w:cs="仿宋_GB2312"/>
          <w:sz w:val="32"/>
          <w:szCs w:val="32"/>
        </w:rPr>
        <w:t>公里乡道、619.5公里村道得到全面养护，发生险情得到及时处置，保障了安全畅通，没有发生一起安全事故。养护质量合格。全年养护资金拨付率100%。由于养护效果较好，全区道路畅通，在市交通局、公路局年终养护检查中得到好评。由于养护得力，全区乡村公路整洁顺畅，为群众提供了舒适便捷的生产生活出行条件，保障了农村各种经济作物、粮食和其它生产资料的运输条件较好地带动沿线及周边的产业发展，受益群众达28万人以上；同时，整洁、顺畅的公路环境也会带动居民修路护路的积极性，对居民养成良好生活习惯和美化生产生活环境也起到促进作用。财政资金全部用于乡村公路养护，资金使用效率高。经调查，受益群众满意度达98%。</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w:t>
      </w:r>
      <w:r>
        <w:rPr>
          <w:rFonts w:ascii="仿宋" w:hAnsi="仿宋" w:eastAsia="仿宋" w:cs="仿宋_GB2312"/>
          <w:sz w:val="32"/>
          <w:szCs w:val="32"/>
        </w:rPr>
        <w:t>、存在主要问题</w:t>
      </w:r>
    </w:p>
    <w:p>
      <w:pPr>
        <w:spacing w:line="58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1、政府补助的养护资金十年来未曾提高，随着材料、人工的价格的不断上涨，镇村保持原本的养护效果越来越大急需提高养护资金补助标准。</w:t>
      </w:r>
    </w:p>
    <w:p>
      <w:pPr>
        <w:spacing w:line="58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2、由于各乡镇、村组均存在由其他渠道筹集资金修建的道路，但又不在区政府补助资金的道路范围内，部分村组道存在缺养的现象。</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四</w:t>
      </w:r>
      <w:r>
        <w:rPr>
          <w:rFonts w:ascii="仿宋" w:hAnsi="仿宋" w:eastAsia="仿宋" w:cs="仿宋_GB2312"/>
          <w:sz w:val="32"/>
          <w:szCs w:val="32"/>
        </w:rPr>
        <w:t>、相关措施建议</w:t>
      </w:r>
    </w:p>
    <w:p>
      <w:pPr>
        <w:spacing w:line="58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1、希望区政府能够修改出台新的农村公路管理养护办法，适当提高县乡村道的养护标准，促进我区农村公路向“四好农村公路”全面迈进。</w:t>
      </w:r>
    </w:p>
    <w:p>
      <w:pPr>
        <w:spacing w:line="58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2、每年新修道路在第二年纳入养护范围予以资金保障。</w:t>
      </w:r>
    </w:p>
    <w:p>
      <w:pPr>
        <w:spacing w:line="600" w:lineRule="exact"/>
        <w:outlineLvl w:val="0"/>
        <w:rPr>
          <w:rFonts w:hint="eastAsia" w:ascii="黑体" w:hAnsi="黑体" w:eastAsia="黑体"/>
          <w:color w:val="000000"/>
          <w:sz w:val="44"/>
          <w:szCs w:val="44"/>
        </w:rPr>
      </w:pPr>
    </w:p>
    <w:p>
      <w:pPr>
        <w:pageBreakBefore w:val="0"/>
        <w:kinsoku/>
        <w:wordWrap/>
        <w:overflowPunct/>
        <w:topLinePunct w:val="0"/>
        <w:bidi w:val="0"/>
        <w:adjustRightInd w:val="0"/>
        <w:snapToGrid w:val="0"/>
        <w:spacing w:line="560" w:lineRule="exact"/>
        <w:jc w:val="both"/>
        <w:rPr>
          <w:rFonts w:hint="eastAsia" w:ascii="黑体" w:hAnsi="黑体" w:eastAsia="黑体" w:cs="黑体"/>
          <w:b/>
          <w:bCs/>
          <w:color w:val="FF0000"/>
          <w:sz w:val="44"/>
          <w:szCs w:val="44"/>
        </w:rPr>
      </w:pPr>
    </w:p>
    <w:p>
      <w:pPr>
        <w:pageBreakBefore w:val="0"/>
        <w:kinsoku/>
        <w:wordWrap/>
        <w:overflowPunct/>
        <w:topLinePunct w:val="0"/>
        <w:bidi w:val="0"/>
        <w:adjustRightInd w:val="0"/>
        <w:snapToGrid w:val="0"/>
        <w:spacing w:line="560" w:lineRule="exact"/>
        <w:jc w:val="center"/>
        <w:rPr>
          <w:rFonts w:ascii="黑体" w:hAnsi="黑体" w:eastAsia="黑体" w:cs="黑体"/>
          <w:b/>
          <w:bCs/>
          <w:color w:val="auto"/>
          <w:sz w:val="44"/>
          <w:szCs w:val="44"/>
        </w:rPr>
      </w:pPr>
      <w:r>
        <w:rPr>
          <w:rFonts w:hint="eastAsia" w:ascii="黑体" w:hAnsi="黑体" w:eastAsia="黑体" w:cs="黑体"/>
          <w:b/>
          <w:bCs/>
          <w:color w:val="auto"/>
          <w:sz w:val="44"/>
          <w:szCs w:val="44"/>
        </w:rPr>
        <w:t>村道建设监督管理项目</w:t>
      </w:r>
    </w:p>
    <w:p>
      <w:pPr>
        <w:pageBreakBefore w:val="0"/>
        <w:kinsoku/>
        <w:wordWrap/>
        <w:overflowPunct/>
        <w:topLinePunct w:val="0"/>
        <w:bidi w:val="0"/>
        <w:adjustRightInd w:val="0"/>
        <w:snapToGrid w:val="0"/>
        <w:spacing w:line="560" w:lineRule="exact"/>
        <w:jc w:val="center"/>
        <w:rPr>
          <w:rFonts w:ascii="黑体" w:hAnsi="黑体" w:eastAsia="黑体" w:cs="黑体"/>
          <w:color w:val="auto"/>
          <w:sz w:val="44"/>
          <w:szCs w:val="44"/>
        </w:rPr>
      </w:pPr>
      <w:r>
        <w:rPr>
          <w:rFonts w:hint="eastAsia" w:ascii="黑体" w:hAnsi="黑体" w:eastAsia="黑体" w:cs="黑体"/>
          <w:b/>
          <w:bCs/>
          <w:color w:val="auto"/>
          <w:sz w:val="44"/>
          <w:szCs w:val="44"/>
        </w:rPr>
        <w:t>2020年绩效评价报告</w:t>
      </w:r>
    </w:p>
    <w:p>
      <w:pPr>
        <w:pageBreakBefore w:val="0"/>
        <w:kinsoku/>
        <w:wordWrap/>
        <w:overflowPunct/>
        <w:topLinePunct w:val="0"/>
        <w:bidi w:val="0"/>
        <w:adjustRightInd w:val="0"/>
        <w:snapToGrid w:val="0"/>
        <w:spacing w:line="560" w:lineRule="exact"/>
        <w:ind w:firstLine="640" w:firstLineChars="200"/>
        <w:rPr>
          <w:rFonts w:ascii="仿宋_GB2312" w:hAnsi="仿宋_GB2312" w:cs="仿宋_GB2312"/>
          <w:color w:val="auto"/>
          <w:szCs w:val="32"/>
        </w:rPr>
      </w:pP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一</w:t>
      </w:r>
      <w:r>
        <w:rPr>
          <w:rFonts w:ascii="仿宋" w:hAnsi="仿宋" w:eastAsia="仿宋" w:cs="仿宋_GB2312"/>
          <w:color w:val="auto"/>
          <w:szCs w:val="32"/>
        </w:rPr>
        <w:t>、评价工作开展及项目情况</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区交通局组建了由局办公室、财务室、综合股人员参加的绩效评价小组。区交通局成立了农村公路建设领导小组，有村道建设专兼职人员两人，负责指导、培训、监督乡镇、村社的建设管理工作，村道建设主体是以村社为主体。我们根据交通安全监管的特点、方式和目标，选取了村道设计审查、村道建设管理培训、工程建设质量监度等十二个三级指标进行评价，评价方法包括现场查看、入户走访、检查资料等方式。</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二</w:t>
      </w:r>
      <w:r>
        <w:rPr>
          <w:rFonts w:ascii="仿宋" w:hAnsi="仿宋" w:eastAsia="仿宋" w:cs="仿宋_GB2312"/>
          <w:color w:val="auto"/>
          <w:szCs w:val="32"/>
        </w:rPr>
        <w:t>、评价结论及绩效分析</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ascii="仿宋" w:hAnsi="仿宋" w:eastAsia="仿宋" w:cs="仿宋_GB2312"/>
          <w:color w:val="auto"/>
          <w:szCs w:val="32"/>
        </w:rPr>
        <w:t>（一）评价结论</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绩效评价小组按照要求对各项指标进行了认真、细致的评价，给予该</w:t>
      </w:r>
      <w:r>
        <w:rPr>
          <w:rFonts w:ascii="仿宋" w:hAnsi="仿宋" w:eastAsia="仿宋" w:cs="仿宋_GB2312"/>
          <w:color w:val="auto"/>
          <w:szCs w:val="32"/>
        </w:rPr>
        <w:t>项目绩效评价总体</w:t>
      </w:r>
      <w:r>
        <w:rPr>
          <w:rFonts w:hint="eastAsia" w:ascii="仿宋" w:hAnsi="仿宋" w:eastAsia="仿宋" w:cs="仿宋_GB2312"/>
          <w:color w:val="auto"/>
          <w:szCs w:val="32"/>
        </w:rPr>
        <w:t>良好的</w:t>
      </w:r>
      <w:r>
        <w:rPr>
          <w:rFonts w:ascii="仿宋" w:hAnsi="仿宋" w:eastAsia="仿宋" w:cs="仿宋_GB2312"/>
          <w:color w:val="auto"/>
          <w:szCs w:val="32"/>
        </w:rPr>
        <w:t>结论</w:t>
      </w:r>
      <w:r>
        <w:rPr>
          <w:rFonts w:hint="eastAsia" w:ascii="仿宋" w:hAnsi="仿宋" w:eastAsia="仿宋" w:cs="仿宋_GB2312"/>
          <w:color w:val="auto"/>
          <w:szCs w:val="32"/>
        </w:rPr>
        <w:t>，评价得分为95分。</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ascii="仿宋" w:hAnsi="仿宋" w:eastAsia="仿宋" w:cs="仿宋_GB2312"/>
          <w:color w:val="auto"/>
          <w:szCs w:val="32"/>
        </w:rPr>
        <w:t>（二）绩效分析</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ascii="仿宋" w:hAnsi="仿宋" w:eastAsia="仿宋" w:cs="仿宋_GB2312"/>
          <w:color w:val="auto"/>
          <w:szCs w:val="32"/>
        </w:rPr>
        <w:t>1、项目决策</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随着经济社会的发展，人民群众对生产生活出行的舒适、安全的要求越来越高，村道建设成为了乡镇政府和交通部门工作中的重中之重。</w:t>
      </w:r>
      <w:r>
        <w:rPr>
          <w:rFonts w:hint="eastAsia" w:ascii="仿宋_GB2312"/>
          <w:color w:val="auto"/>
          <w:szCs w:val="32"/>
        </w:rPr>
        <w:t>区交通局参与村道建设组织、建设、质量与安全、技术指导与培训等全过程的监督、指导、管理工作，工作量大、任务重，特别是在2018年使用过桥贷款大量实施项目（预计实施30条村道共60公里）的情况下，需要专人负责相关工作，并将发生较多的资料费、差旅费等费用。</w:t>
      </w:r>
      <w:r>
        <w:rPr>
          <w:rFonts w:hint="eastAsia" w:ascii="仿宋" w:hAnsi="仿宋" w:eastAsia="仿宋" w:cs="仿宋_GB2312"/>
          <w:color w:val="auto"/>
          <w:szCs w:val="32"/>
        </w:rPr>
        <w:t>本项目的绩效目标主要根据《安全生产法》等制度的要求和可操作性来进行设置。</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ascii="仿宋" w:hAnsi="仿宋" w:eastAsia="仿宋" w:cs="仿宋_GB2312"/>
          <w:color w:val="auto"/>
          <w:szCs w:val="32"/>
        </w:rPr>
        <w:t>2、项目管理</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区财政下达交通村道建设监督管理资金预算8.54万元。区交通局成立了农村公路建设领导小组，有村道建设专兼职人员两人，负责指导、培训、监督乡镇、村社的建设管理工作，并聘请专家对各村提交的设计图纸进行审查批复。在集中使用过桥贷款的情况下，由镇村负责宣传动员、征地协调、路基平整等前期工作，路面铺筑由区交通局进行招标实施，聘请镇村干部和群众担任社会监督员。区交通局每周派遣专人到镇村检查督促工作情况，帮助进行协调宣传，付负责建设质量监督。</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ascii="仿宋" w:hAnsi="仿宋" w:eastAsia="仿宋" w:cs="仿宋_GB2312"/>
          <w:color w:val="auto"/>
          <w:szCs w:val="32"/>
        </w:rPr>
        <w:t>3、项目绩效</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由于保障较好，工作较扎实，措施得当，区、镇、村各级密切配合，全区村道建设工作有序进行，责任落实到位。全年共审查村道设计32套，开展村道培训管理2次，开展工程质量监督120次以上，建设质量和安全得到保障，没有质量和安全事故发生，已完工优良路率为100%，当年已完工25条。由于多数泥路、泥结碎石路改造成水泥路，有效促进了农村居民生产生活环境的改善，起到了环保示范作用。经测算，当年村道建设使沿线镇村生产总值增长2%，人均收入增长2%，有效带动了地方经济的发展。村道建设的受益群众达10万以上。区交通局严格按照财政财务规定，将村道建设工作经费全部用于村道建设监管工作，顺利完成各项目标任务。基层干部、群众满意度达97%。</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三</w:t>
      </w:r>
      <w:r>
        <w:rPr>
          <w:rFonts w:ascii="仿宋" w:hAnsi="仿宋" w:eastAsia="仿宋" w:cs="仿宋_GB2312"/>
          <w:color w:val="auto"/>
          <w:szCs w:val="32"/>
        </w:rPr>
        <w:t>、存在主要问题</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村道建设点多面广，基层工作非常重要。由于乡镇干部的工作变动较频繁，每年均有分管交通的领导、交通员或村干部工作或职位发生变动，新任职人员对村道建设管理缺乏熟悉，建设管理能力有所欠缺，每年均需进行培训。</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四</w:t>
      </w:r>
      <w:r>
        <w:rPr>
          <w:rFonts w:ascii="仿宋" w:hAnsi="仿宋" w:eastAsia="仿宋" w:cs="仿宋_GB2312"/>
          <w:color w:val="auto"/>
          <w:szCs w:val="32"/>
        </w:rPr>
        <w:t>、相关措施建议</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希望区政府能够一如既往地重视、支持交通村道建设管理工作，逐步加大投入，进一步促进交通村道建设监督管理工作迈上新台阶。</w:t>
      </w:r>
    </w:p>
    <w:p>
      <w:pPr>
        <w:pageBreakBefore w:val="0"/>
        <w:kinsoku/>
        <w:wordWrap/>
        <w:overflowPunct/>
        <w:topLinePunct w:val="0"/>
        <w:bidi w:val="0"/>
        <w:adjustRightInd w:val="0"/>
        <w:snapToGrid w:val="0"/>
        <w:spacing w:line="560" w:lineRule="exact"/>
        <w:jc w:val="center"/>
        <w:rPr>
          <w:rFonts w:ascii="黑体" w:hAnsi="黑体" w:eastAsia="黑体" w:cs="方正小标宋简体"/>
          <w:color w:val="auto"/>
          <w:sz w:val="44"/>
          <w:szCs w:val="44"/>
        </w:rPr>
      </w:pPr>
    </w:p>
    <w:p>
      <w:pPr>
        <w:pageBreakBefore w:val="0"/>
        <w:kinsoku/>
        <w:wordWrap/>
        <w:overflowPunct/>
        <w:topLinePunct w:val="0"/>
        <w:bidi w:val="0"/>
        <w:adjustRightInd w:val="0"/>
        <w:snapToGrid w:val="0"/>
        <w:spacing w:line="560" w:lineRule="exact"/>
        <w:jc w:val="both"/>
        <w:rPr>
          <w:rFonts w:ascii="黑体" w:hAnsi="黑体" w:eastAsia="黑体" w:cs="方正小标宋简体"/>
          <w:color w:val="FF0000"/>
          <w:sz w:val="44"/>
          <w:szCs w:val="44"/>
        </w:rPr>
      </w:pPr>
    </w:p>
    <w:p>
      <w:pPr>
        <w:pageBreakBefore w:val="0"/>
        <w:kinsoku/>
        <w:wordWrap/>
        <w:overflowPunct/>
        <w:topLinePunct w:val="0"/>
        <w:bidi w:val="0"/>
        <w:adjustRightInd w:val="0"/>
        <w:snapToGrid w:val="0"/>
        <w:spacing w:line="560" w:lineRule="exact"/>
        <w:jc w:val="center"/>
        <w:rPr>
          <w:rFonts w:ascii="黑体" w:hAnsi="黑体" w:eastAsia="黑体" w:cs="方正小标宋简体"/>
          <w:color w:val="auto"/>
          <w:sz w:val="44"/>
          <w:szCs w:val="44"/>
        </w:rPr>
      </w:pPr>
      <w:r>
        <w:rPr>
          <w:rFonts w:hint="eastAsia" w:ascii="黑体" w:hAnsi="黑体" w:eastAsia="黑体" w:cs="方正小标宋简体"/>
          <w:color w:val="auto"/>
          <w:sz w:val="44"/>
          <w:szCs w:val="44"/>
        </w:rPr>
        <w:t>交通运输安全监管及应急演练项目</w:t>
      </w:r>
    </w:p>
    <w:p>
      <w:pPr>
        <w:pageBreakBefore w:val="0"/>
        <w:kinsoku/>
        <w:wordWrap/>
        <w:overflowPunct/>
        <w:topLinePunct w:val="0"/>
        <w:bidi w:val="0"/>
        <w:adjustRightInd w:val="0"/>
        <w:snapToGrid w:val="0"/>
        <w:spacing w:line="560" w:lineRule="exact"/>
        <w:jc w:val="center"/>
        <w:rPr>
          <w:rFonts w:ascii="黑体" w:hAnsi="黑体" w:eastAsia="黑体" w:cs="方正小标宋简体"/>
          <w:color w:val="auto"/>
          <w:sz w:val="44"/>
          <w:szCs w:val="44"/>
        </w:rPr>
      </w:pPr>
      <w:r>
        <w:rPr>
          <w:rFonts w:hint="eastAsia" w:ascii="黑体" w:hAnsi="黑体" w:eastAsia="黑体" w:cs="方正小标宋简体"/>
          <w:color w:val="auto"/>
          <w:sz w:val="44"/>
          <w:szCs w:val="44"/>
        </w:rPr>
        <w:t>2020年度绩效评价报告</w:t>
      </w:r>
    </w:p>
    <w:p>
      <w:pPr>
        <w:pageBreakBefore w:val="0"/>
        <w:kinsoku/>
        <w:wordWrap/>
        <w:overflowPunct/>
        <w:topLinePunct w:val="0"/>
        <w:bidi w:val="0"/>
        <w:adjustRightInd w:val="0"/>
        <w:snapToGrid w:val="0"/>
        <w:spacing w:line="560" w:lineRule="exact"/>
        <w:ind w:firstLine="640" w:firstLineChars="200"/>
        <w:rPr>
          <w:rFonts w:ascii="仿宋_GB2312" w:hAnsi="仿宋_GB2312" w:cs="仿宋_GB2312"/>
          <w:color w:val="auto"/>
          <w:szCs w:val="32"/>
        </w:rPr>
      </w:pP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一</w:t>
      </w:r>
      <w:r>
        <w:rPr>
          <w:rFonts w:ascii="仿宋" w:hAnsi="仿宋" w:eastAsia="仿宋" w:cs="仿宋_GB2312"/>
          <w:color w:val="auto"/>
          <w:szCs w:val="32"/>
        </w:rPr>
        <w:t>、评价工作开展及项目情况</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区交通局组建了由办公室、财务室、安全股人员参加的绩效评价小组。绩效评价小组针对我区道路客货运输、道路管养、交通项目建设等领域的安全生产、应急处置和安全培训等方面开展指导和考核检查工作。我局根据交通运输行业安全生产监管的特点和要求，选取了安全监管执法、日常监督管理、安全生产培训、年度考核、受益群众、辖区群众满意度等六个三级指标进行评价，评价方法包括现场查看、入户走访、检查资料等方式；</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二</w:t>
      </w:r>
      <w:r>
        <w:rPr>
          <w:rFonts w:ascii="仿宋" w:hAnsi="仿宋" w:eastAsia="仿宋" w:cs="仿宋_GB2312"/>
          <w:color w:val="auto"/>
          <w:szCs w:val="32"/>
        </w:rPr>
        <w:t>、评价结论及绩效分析</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ascii="仿宋" w:hAnsi="仿宋" w:eastAsia="仿宋" w:cs="仿宋_GB2312"/>
          <w:color w:val="auto"/>
          <w:szCs w:val="32"/>
        </w:rPr>
        <w:t>（一）评价结论</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绩效评价小组按照要求对各项指标进行了认真、细致的评价，给予该</w:t>
      </w:r>
      <w:r>
        <w:rPr>
          <w:rFonts w:ascii="仿宋" w:hAnsi="仿宋" w:eastAsia="仿宋" w:cs="仿宋_GB2312"/>
          <w:color w:val="auto"/>
          <w:szCs w:val="32"/>
        </w:rPr>
        <w:t>项目绩效评价总体</w:t>
      </w:r>
      <w:r>
        <w:rPr>
          <w:rFonts w:hint="eastAsia" w:ascii="仿宋" w:hAnsi="仿宋" w:eastAsia="仿宋" w:cs="仿宋_GB2312"/>
          <w:color w:val="auto"/>
          <w:szCs w:val="32"/>
        </w:rPr>
        <w:t>良好的</w:t>
      </w:r>
      <w:r>
        <w:rPr>
          <w:rFonts w:ascii="仿宋" w:hAnsi="仿宋" w:eastAsia="仿宋" w:cs="仿宋_GB2312"/>
          <w:color w:val="auto"/>
          <w:szCs w:val="32"/>
        </w:rPr>
        <w:t>结论</w:t>
      </w:r>
      <w:r>
        <w:rPr>
          <w:rFonts w:hint="eastAsia" w:ascii="仿宋" w:hAnsi="仿宋" w:eastAsia="仿宋" w:cs="仿宋_GB2312"/>
          <w:color w:val="auto"/>
          <w:szCs w:val="32"/>
        </w:rPr>
        <w:t>，评价得分为96分</w:t>
      </w:r>
      <w:r>
        <w:rPr>
          <w:rFonts w:ascii="仿宋" w:hAnsi="仿宋" w:eastAsia="仿宋" w:cs="仿宋_GB2312"/>
          <w:color w:val="auto"/>
          <w:szCs w:val="32"/>
        </w:rPr>
        <w:t>（包括项目评价得分表）</w:t>
      </w:r>
      <w:r>
        <w:rPr>
          <w:rFonts w:hint="eastAsia" w:ascii="仿宋" w:hAnsi="仿宋" w:eastAsia="仿宋" w:cs="仿宋_GB2312"/>
          <w:color w:val="auto"/>
          <w:szCs w:val="32"/>
        </w:rPr>
        <w:t>。</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ascii="仿宋" w:hAnsi="仿宋" w:eastAsia="仿宋" w:cs="仿宋_GB2312"/>
          <w:color w:val="auto"/>
          <w:szCs w:val="32"/>
        </w:rPr>
        <w:t>（二）绩效分析</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ascii="仿宋" w:hAnsi="仿宋" w:eastAsia="仿宋" w:cs="仿宋_GB2312"/>
          <w:color w:val="auto"/>
          <w:szCs w:val="32"/>
        </w:rPr>
        <w:t>1、项目决策</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随着经济社会的发展，人民群众对生产生活安全稳定环境的要求越来越高，安全、畅通成为了群众对交通运输行业的基本要求。通过强化辖区企业安全生产监督执法管理，组织开展行业类必要的安全警示教育以及安全生产培训，深入推进各类专项整治行动，以促进辖区交通运输从业领域的安全生产管理能力体系建设，确保行业内总体安全平稳可控。本项目的绩效目标主要根据上级政府和主管部门关于对安全生产目标任务的要求和可操作性来进行设置。</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ascii="仿宋" w:hAnsi="仿宋" w:eastAsia="仿宋" w:cs="仿宋_GB2312"/>
          <w:color w:val="auto"/>
          <w:szCs w:val="32"/>
        </w:rPr>
        <w:t>2、项目管理</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区财政下达该项目预算</w:t>
      </w:r>
      <w:r>
        <w:rPr>
          <w:rFonts w:ascii="仿宋" w:hAnsi="仿宋" w:eastAsia="仿宋" w:cs="仿宋_GB2312"/>
          <w:color w:val="auto"/>
          <w:szCs w:val="32"/>
        </w:rPr>
        <w:t>资金</w:t>
      </w:r>
      <w:r>
        <w:rPr>
          <w:rFonts w:hint="eastAsia" w:ascii="仿宋" w:hAnsi="仿宋" w:eastAsia="仿宋" w:cs="仿宋_GB2312"/>
          <w:color w:val="auto"/>
          <w:szCs w:val="32"/>
        </w:rPr>
        <w:t xml:space="preserve"> 10.89 万元。我局坚持每月召开安全生产例会，每季度召开局党委会专题研究布置安全生产工作，全年以会代训召开培训会议4次，参训人员300余人次，开展安全生产检查60余次派出检查人员180余人次，始终坚持强化防汛及应急值守。</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ascii="仿宋" w:hAnsi="仿宋" w:eastAsia="仿宋" w:cs="仿宋_GB2312"/>
          <w:color w:val="auto"/>
          <w:szCs w:val="32"/>
        </w:rPr>
        <w:t>3、项目绩效</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经过全区交通运输行业从业人员的共同努力，全区交通运输安全生产工作全面完成，发生险情得到及时处置，保障了安全畅通，没有发生一起安全事故。财政资金全部用于安全生产工作，资金使用效率高。经调查，受益群众满意度达96%。全年未发生有责一般事故，未发生较大安全事故。</w:t>
      </w:r>
    </w:p>
    <w:p>
      <w:pPr>
        <w:pageBreakBefore w:val="0"/>
        <w:kinsoku/>
        <w:wordWrap/>
        <w:overflowPunct/>
        <w:topLinePunct w:val="0"/>
        <w:bidi w:val="0"/>
        <w:adjustRightInd w:val="0"/>
        <w:snapToGrid w:val="0"/>
        <w:spacing w:line="560" w:lineRule="exact"/>
        <w:ind w:firstLine="640" w:firstLineChars="200"/>
        <w:rPr>
          <w:rFonts w:ascii="仿宋" w:hAnsi="仿宋" w:eastAsia="仿宋" w:cs="仿宋_GB2312"/>
          <w:color w:val="auto"/>
          <w:szCs w:val="32"/>
        </w:rPr>
      </w:pPr>
      <w:r>
        <w:rPr>
          <w:rFonts w:hint="eastAsia" w:ascii="仿宋" w:hAnsi="仿宋" w:eastAsia="仿宋" w:cs="仿宋_GB2312"/>
          <w:color w:val="auto"/>
          <w:szCs w:val="32"/>
        </w:rPr>
        <w:t>三</w:t>
      </w:r>
      <w:r>
        <w:rPr>
          <w:rFonts w:ascii="仿宋" w:hAnsi="仿宋" w:eastAsia="仿宋" w:cs="仿宋_GB2312"/>
          <w:color w:val="auto"/>
          <w:szCs w:val="32"/>
        </w:rPr>
        <w:t>、存在主要问题</w:t>
      </w:r>
    </w:p>
    <w:p>
      <w:pPr>
        <w:pageBreakBefore w:val="0"/>
        <w:kinsoku/>
        <w:wordWrap/>
        <w:overflowPunct/>
        <w:topLinePunct w:val="0"/>
        <w:bidi w:val="0"/>
        <w:adjustRightInd w:val="0"/>
        <w:snapToGrid w:val="0"/>
        <w:spacing w:line="560" w:lineRule="exact"/>
        <w:ind w:firstLine="640" w:firstLineChars="200"/>
        <w:rPr>
          <w:rStyle w:val="13"/>
          <w:rFonts w:ascii="黑体" w:hAnsi="黑体" w:eastAsia="黑体"/>
          <w:b w:val="0"/>
          <w:color w:val="auto"/>
        </w:rPr>
      </w:pPr>
      <w:r>
        <w:rPr>
          <w:rFonts w:hint="eastAsia" w:ascii="仿宋" w:hAnsi="仿宋" w:eastAsia="仿宋" w:cs="仿宋_GB2312"/>
          <w:color w:val="auto"/>
          <w:szCs w:val="32"/>
        </w:rPr>
        <w:t>辖区安全生产保持了总体稳定，但依然存在部分道路特别是年久失修的道路桥梁，没有安排应急处置资金，由于财政资金短缺，上级补助资金难以争取等问题未能得到及时处置。</w:t>
      </w:r>
      <w:r>
        <w:rPr>
          <w:rStyle w:val="13"/>
          <w:rFonts w:ascii="黑体" w:hAnsi="黑体" w:eastAsia="黑体"/>
          <w:b w:val="0"/>
          <w:color w:val="auto"/>
        </w:rPr>
        <w:br w:type="page"/>
      </w:r>
    </w:p>
    <w:p>
      <w:pPr>
        <w:pageBreakBefore w:val="0"/>
        <w:kinsoku/>
        <w:wordWrap/>
        <w:overflowPunct/>
        <w:topLinePunct w:val="0"/>
        <w:bidi w:val="0"/>
        <w:adjustRightInd w:val="0"/>
        <w:snapToGrid w:val="0"/>
        <w:spacing w:line="560" w:lineRule="exact"/>
        <w:jc w:val="center"/>
        <w:outlineLvl w:val="0"/>
        <w:rPr>
          <w:rStyle w:val="13"/>
          <w:rFonts w:ascii="黑体" w:hAnsi="黑体" w:eastAsia="黑体"/>
          <w:b w:val="0"/>
        </w:rPr>
      </w:pPr>
      <w:bookmarkStart w:id="62" w:name="_Toc32283"/>
      <w:bookmarkStart w:id="63" w:name="_Toc15396618"/>
      <w:r>
        <w:rPr>
          <w:rFonts w:hint="eastAsia" w:ascii="黑体" w:hAnsi="黑体" w:eastAsia="黑体"/>
          <w:sz w:val="44"/>
          <w:szCs w:val="44"/>
        </w:rPr>
        <w:t>第</w:t>
      </w:r>
      <w:r>
        <w:rPr>
          <w:rStyle w:val="13"/>
          <w:rFonts w:hint="eastAsia" w:ascii="黑体" w:hAnsi="黑体" w:eastAsia="黑体"/>
          <w:b w:val="0"/>
        </w:rPr>
        <w:t>五部分附表</w:t>
      </w:r>
      <w:bookmarkEnd w:id="58"/>
      <w:bookmarkEnd w:id="62"/>
      <w:bookmarkEnd w:id="63"/>
    </w:p>
    <w:p>
      <w:pPr>
        <w:pageBreakBefore w:val="0"/>
        <w:kinsoku/>
        <w:wordWrap/>
        <w:overflowPunct/>
        <w:topLinePunct w:val="0"/>
        <w:bidi w:val="0"/>
        <w:adjustRightInd w:val="0"/>
        <w:snapToGrid w:val="0"/>
        <w:spacing w:line="560" w:lineRule="exact"/>
        <w:jc w:val="center"/>
        <w:outlineLvl w:val="0"/>
        <w:rPr>
          <w:rFonts w:ascii="仿宋" w:hAnsi="仿宋" w:eastAsia="仿宋"/>
          <w:b/>
          <w:sz w:val="44"/>
          <w:szCs w:val="44"/>
        </w:rPr>
      </w:pPr>
    </w:p>
    <w:p>
      <w:pPr>
        <w:pStyle w:val="4"/>
        <w:pageBreakBefore w:val="0"/>
        <w:kinsoku/>
        <w:wordWrap/>
        <w:overflowPunct/>
        <w:topLinePunct w:val="0"/>
        <w:bidi w:val="0"/>
        <w:adjustRightInd w:val="0"/>
        <w:snapToGrid w:val="0"/>
        <w:spacing w:before="0" w:line="560" w:lineRule="exact"/>
        <w:rPr>
          <w:rFonts w:ascii="仿宋" w:hAnsi="仿宋" w:eastAsia="仿宋"/>
        </w:rPr>
      </w:pPr>
      <w:bookmarkStart w:id="64" w:name="_Toc15396619"/>
      <w:bookmarkStart w:id="65" w:name="_Toc15699"/>
      <w:r>
        <w:rPr>
          <w:rFonts w:hint="eastAsia" w:ascii="仿宋" w:hAnsi="仿宋" w:eastAsia="仿宋"/>
          <w:b w:val="0"/>
        </w:rPr>
        <w:t>一、收</w:t>
      </w:r>
      <w:r>
        <w:rPr>
          <w:rStyle w:val="14"/>
          <w:rFonts w:hint="eastAsia" w:ascii="仿宋" w:hAnsi="仿宋" w:eastAsia="仿宋"/>
          <w:b w:val="0"/>
          <w:bCs w:val="0"/>
        </w:rPr>
        <w:t>入支出决算总表</w:t>
      </w:r>
      <w:bookmarkEnd w:id="64"/>
      <w:bookmarkEnd w:id="65"/>
    </w:p>
    <w:p>
      <w:pPr>
        <w:pStyle w:val="4"/>
        <w:pageBreakBefore w:val="0"/>
        <w:kinsoku/>
        <w:wordWrap/>
        <w:overflowPunct/>
        <w:topLinePunct w:val="0"/>
        <w:bidi w:val="0"/>
        <w:adjustRightInd w:val="0"/>
        <w:snapToGrid w:val="0"/>
        <w:spacing w:before="0" w:line="560" w:lineRule="exact"/>
        <w:rPr>
          <w:rFonts w:ascii="仿宋" w:hAnsi="仿宋" w:eastAsia="仿宋"/>
        </w:rPr>
      </w:pPr>
      <w:bookmarkStart w:id="66" w:name="_Toc27106"/>
      <w:bookmarkStart w:id="67" w:name="_Toc15396620"/>
      <w:r>
        <w:rPr>
          <w:rFonts w:hint="eastAsia" w:ascii="仿宋" w:hAnsi="仿宋" w:eastAsia="仿宋"/>
          <w:b w:val="0"/>
        </w:rPr>
        <w:t>二、收</w:t>
      </w:r>
      <w:r>
        <w:rPr>
          <w:rStyle w:val="14"/>
          <w:rFonts w:hint="eastAsia" w:ascii="仿宋" w:hAnsi="仿宋" w:eastAsia="仿宋"/>
          <w:b w:val="0"/>
          <w:bCs w:val="0"/>
        </w:rPr>
        <w:t>入决算表</w:t>
      </w:r>
      <w:bookmarkEnd w:id="66"/>
      <w:bookmarkEnd w:id="67"/>
    </w:p>
    <w:p>
      <w:pPr>
        <w:pStyle w:val="4"/>
        <w:pageBreakBefore w:val="0"/>
        <w:kinsoku/>
        <w:wordWrap/>
        <w:overflowPunct/>
        <w:topLinePunct w:val="0"/>
        <w:bidi w:val="0"/>
        <w:adjustRightInd w:val="0"/>
        <w:snapToGrid w:val="0"/>
        <w:spacing w:before="0" w:line="560" w:lineRule="exact"/>
        <w:rPr>
          <w:rFonts w:ascii="仿宋" w:hAnsi="仿宋" w:eastAsia="仿宋"/>
        </w:rPr>
      </w:pPr>
      <w:bookmarkStart w:id="68" w:name="_Toc15396621"/>
      <w:bookmarkStart w:id="69" w:name="_Toc26817"/>
      <w:r>
        <w:rPr>
          <w:rStyle w:val="14"/>
          <w:rFonts w:hint="eastAsia" w:ascii="仿宋" w:hAnsi="仿宋" w:eastAsia="仿宋"/>
          <w:b w:val="0"/>
          <w:bCs w:val="0"/>
        </w:rPr>
        <w:t>三、</w:t>
      </w:r>
      <w:r>
        <w:rPr>
          <w:rFonts w:hint="eastAsia" w:ascii="仿宋" w:hAnsi="仿宋" w:eastAsia="仿宋"/>
          <w:b w:val="0"/>
        </w:rPr>
        <w:t>支</w:t>
      </w:r>
      <w:r>
        <w:rPr>
          <w:rStyle w:val="14"/>
          <w:rFonts w:hint="eastAsia" w:ascii="仿宋" w:hAnsi="仿宋" w:eastAsia="仿宋"/>
          <w:b w:val="0"/>
          <w:bCs w:val="0"/>
        </w:rPr>
        <w:t>出决算表</w:t>
      </w:r>
      <w:bookmarkEnd w:id="68"/>
      <w:bookmarkEnd w:id="69"/>
    </w:p>
    <w:p>
      <w:pPr>
        <w:pStyle w:val="4"/>
        <w:pageBreakBefore w:val="0"/>
        <w:kinsoku/>
        <w:wordWrap/>
        <w:overflowPunct/>
        <w:topLinePunct w:val="0"/>
        <w:bidi w:val="0"/>
        <w:adjustRightInd w:val="0"/>
        <w:snapToGrid w:val="0"/>
        <w:spacing w:before="0" w:line="560" w:lineRule="exact"/>
        <w:rPr>
          <w:rFonts w:ascii="仿宋" w:hAnsi="仿宋" w:eastAsia="仿宋"/>
          <w:b w:val="0"/>
        </w:rPr>
      </w:pPr>
      <w:bookmarkStart w:id="70" w:name="_Toc21747"/>
      <w:bookmarkStart w:id="71" w:name="_Toc15396622"/>
      <w:r>
        <w:rPr>
          <w:rStyle w:val="14"/>
          <w:rFonts w:hint="eastAsia" w:ascii="仿宋" w:hAnsi="仿宋" w:eastAsia="仿宋"/>
          <w:b w:val="0"/>
          <w:bCs w:val="0"/>
        </w:rPr>
        <w:t>四、</w:t>
      </w:r>
      <w:r>
        <w:rPr>
          <w:rFonts w:hint="eastAsia" w:ascii="仿宋" w:hAnsi="仿宋" w:eastAsia="仿宋"/>
          <w:b w:val="0"/>
        </w:rPr>
        <w:t>财</w:t>
      </w:r>
      <w:r>
        <w:rPr>
          <w:rStyle w:val="14"/>
          <w:rFonts w:hint="eastAsia" w:ascii="仿宋" w:hAnsi="仿宋" w:eastAsia="仿宋"/>
          <w:b w:val="0"/>
          <w:bCs w:val="0"/>
        </w:rPr>
        <w:t>政拨款收入支出决算总表</w:t>
      </w:r>
      <w:bookmarkEnd w:id="70"/>
      <w:bookmarkEnd w:id="71"/>
    </w:p>
    <w:p>
      <w:pPr>
        <w:pStyle w:val="4"/>
        <w:pageBreakBefore w:val="0"/>
        <w:kinsoku/>
        <w:wordWrap/>
        <w:overflowPunct/>
        <w:topLinePunct w:val="0"/>
        <w:bidi w:val="0"/>
        <w:adjustRightInd w:val="0"/>
        <w:snapToGrid w:val="0"/>
        <w:spacing w:before="0" w:line="560" w:lineRule="exact"/>
        <w:rPr>
          <w:rStyle w:val="14"/>
          <w:rFonts w:ascii="仿宋" w:hAnsi="仿宋" w:eastAsia="仿宋"/>
          <w:b w:val="0"/>
          <w:bCs w:val="0"/>
        </w:rPr>
      </w:pPr>
      <w:bookmarkStart w:id="72" w:name="_Toc12959"/>
      <w:bookmarkStart w:id="73" w:name="_Toc15396623"/>
      <w:r>
        <w:rPr>
          <w:rStyle w:val="14"/>
          <w:rFonts w:hint="eastAsia" w:ascii="仿宋" w:hAnsi="仿宋" w:eastAsia="仿宋"/>
          <w:b w:val="0"/>
          <w:bCs w:val="0"/>
        </w:rPr>
        <w:t>五、</w:t>
      </w:r>
      <w:r>
        <w:rPr>
          <w:rFonts w:hint="eastAsia" w:ascii="仿宋" w:hAnsi="仿宋" w:eastAsia="仿宋"/>
          <w:b w:val="0"/>
        </w:rPr>
        <w:t>财</w:t>
      </w:r>
      <w:r>
        <w:rPr>
          <w:rStyle w:val="14"/>
          <w:rFonts w:hint="eastAsia" w:ascii="仿宋" w:hAnsi="仿宋" w:eastAsia="仿宋"/>
          <w:b w:val="0"/>
          <w:bCs w:val="0"/>
        </w:rPr>
        <w:t>政拨款支出决算明细表</w:t>
      </w:r>
      <w:bookmarkEnd w:id="72"/>
      <w:bookmarkEnd w:id="73"/>
      <w:bookmarkStart w:id="74" w:name="_Toc15396624"/>
    </w:p>
    <w:p>
      <w:pPr>
        <w:pStyle w:val="4"/>
        <w:pageBreakBefore w:val="0"/>
        <w:kinsoku/>
        <w:wordWrap/>
        <w:overflowPunct/>
        <w:topLinePunct w:val="0"/>
        <w:bidi w:val="0"/>
        <w:adjustRightInd w:val="0"/>
        <w:snapToGrid w:val="0"/>
        <w:spacing w:before="0" w:line="560" w:lineRule="exact"/>
        <w:rPr>
          <w:rFonts w:ascii="仿宋" w:hAnsi="仿宋" w:eastAsia="仿宋"/>
        </w:rPr>
      </w:pPr>
      <w:bookmarkStart w:id="75" w:name="_Toc23749"/>
      <w:r>
        <w:rPr>
          <w:rStyle w:val="14"/>
          <w:rFonts w:hint="eastAsia" w:ascii="仿宋" w:hAnsi="仿宋" w:eastAsia="仿宋"/>
          <w:b w:val="0"/>
          <w:bCs w:val="0"/>
        </w:rPr>
        <w:t>六、</w:t>
      </w:r>
      <w:r>
        <w:rPr>
          <w:rFonts w:hint="eastAsia" w:ascii="仿宋" w:hAnsi="仿宋" w:eastAsia="仿宋"/>
          <w:b w:val="0"/>
        </w:rPr>
        <w:t>一</w:t>
      </w:r>
      <w:r>
        <w:rPr>
          <w:rStyle w:val="14"/>
          <w:rFonts w:hint="eastAsia" w:ascii="仿宋" w:hAnsi="仿宋" w:eastAsia="仿宋"/>
          <w:b w:val="0"/>
          <w:bCs w:val="0"/>
        </w:rPr>
        <w:t>般公共预算财政拨款支出决算表</w:t>
      </w:r>
      <w:bookmarkEnd w:id="74"/>
      <w:bookmarkEnd w:id="75"/>
    </w:p>
    <w:p>
      <w:pPr>
        <w:pStyle w:val="4"/>
        <w:pageBreakBefore w:val="0"/>
        <w:kinsoku/>
        <w:wordWrap/>
        <w:overflowPunct/>
        <w:topLinePunct w:val="0"/>
        <w:bidi w:val="0"/>
        <w:adjustRightInd w:val="0"/>
        <w:snapToGrid w:val="0"/>
        <w:spacing w:before="0" w:line="560" w:lineRule="exact"/>
        <w:rPr>
          <w:rFonts w:ascii="仿宋" w:hAnsi="仿宋" w:eastAsia="仿宋"/>
        </w:rPr>
      </w:pPr>
      <w:bookmarkStart w:id="76" w:name="_Toc15396625"/>
      <w:bookmarkStart w:id="77" w:name="_Toc22275"/>
      <w:r>
        <w:rPr>
          <w:rStyle w:val="14"/>
          <w:rFonts w:hint="eastAsia" w:ascii="仿宋" w:hAnsi="仿宋" w:eastAsia="仿宋"/>
          <w:b w:val="0"/>
          <w:bCs w:val="0"/>
        </w:rPr>
        <w:t>七、</w:t>
      </w:r>
      <w:r>
        <w:rPr>
          <w:rFonts w:hint="eastAsia" w:ascii="仿宋" w:hAnsi="仿宋" w:eastAsia="仿宋"/>
          <w:b w:val="0"/>
        </w:rPr>
        <w:t>一</w:t>
      </w:r>
      <w:r>
        <w:rPr>
          <w:rStyle w:val="14"/>
          <w:rFonts w:hint="eastAsia" w:ascii="仿宋" w:hAnsi="仿宋" w:eastAsia="仿宋"/>
          <w:b w:val="0"/>
          <w:bCs w:val="0"/>
        </w:rPr>
        <w:t>般公共预算财政拨款支出决算明细表</w:t>
      </w:r>
      <w:bookmarkEnd w:id="76"/>
      <w:bookmarkEnd w:id="77"/>
    </w:p>
    <w:p>
      <w:pPr>
        <w:pStyle w:val="4"/>
        <w:pageBreakBefore w:val="0"/>
        <w:kinsoku/>
        <w:wordWrap/>
        <w:overflowPunct/>
        <w:topLinePunct w:val="0"/>
        <w:bidi w:val="0"/>
        <w:adjustRightInd w:val="0"/>
        <w:snapToGrid w:val="0"/>
        <w:spacing w:before="0" w:line="560" w:lineRule="exact"/>
        <w:rPr>
          <w:rFonts w:ascii="仿宋" w:hAnsi="仿宋" w:eastAsia="仿宋"/>
        </w:rPr>
      </w:pPr>
      <w:bookmarkStart w:id="78" w:name="_Toc30634"/>
      <w:bookmarkStart w:id="79" w:name="_Toc15396626"/>
      <w:r>
        <w:rPr>
          <w:rStyle w:val="14"/>
          <w:rFonts w:hint="eastAsia" w:ascii="仿宋" w:hAnsi="仿宋" w:eastAsia="仿宋"/>
          <w:b w:val="0"/>
          <w:bCs w:val="0"/>
        </w:rPr>
        <w:t>八、</w:t>
      </w:r>
      <w:r>
        <w:rPr>
          <w:rFonts w:hint="eastAsia" w:ascii="仿宋" w:hAnsi="仿宋" w:eastAsia="仿宋"/>
          <w:b w:val="0"/>
        </w:rPr>
        <w:t>一</w:t>
      </w:r>
      <w:r>
        <w:rPr>
          <w:rStyle w:val="14"/>
          <w:rFonts w:hint="eastAsia" w:ascii="仿宋" w:hAnsi="仿宋" w:eastAsia="仿宋"/>
          <w:b w:val="0"/>
          <w:bCs w:val="0"/>
        </w:rPr>
        <w:t>般公共预算财政拨款基本支出决算表</w:t>
      </w:r>
      <w:bookmarkEnd w:id="78"/>
      <w:bookmarkEnd w:id="79"/>
    </w:p>
    <w:p>
      <w:pPr>
        <w:pStyle w:val="4"/>
        <w:pageBreakBefore w:val="0"/>
        <w:kinsoku/>
        <w:wordWrap/>
        <w:overflowPunct/>
        <w:topLinePunct w:val="0"/>
        <w:bidi w:val="0"/>
        <w:adjustRightInd w:val="0"/>
        <w:snapToGrid w:val="0"/>
        <w:spacing w:before="0" w:line="560" w:lineRule="exact"/>
        <w:rPr>
          <w:rFonts w:ascii="仿宋" w:hAnsi="仿宋" w:eastAsia="仿宋"/>
        </w:rPr>
      </w:pPr>
      <w:bookmarkStart w:id="80" w:name="_Toc15396627"/>
      <w:bookmarkStart w:id="81" w:name="_Toc15170"/>
      <w:r>
        <w:rPr>
          <w:rStyle w:val="14"/>
          <w:rFonts w:hint="eastAsia" w:ascii="仿宋" w:hAnsi="仿宋" w:eastAsia="仿宋"/>
          <w:b w:val="0"/>
          <w:bCs w:val="0"/>
        </w:rPr>
        <w:t>九、</w:t>
      </w:r>
      <w:r>
        <w:rPr>
          <w:rFonts w:hint="eastAsia" w:ascii="仿宋" w:hAnsi="仿宋" w:eastAsia="仿宋"/>
          <w:b w:val="0"/>
        </w:rPr>
        <w:t>一</w:t>
      </w:r>
      <w:r>
        <w:rPr>
          <w:rStyle w:val="14"/>
          <w:rFonts w:hint="eastAsia" w:ascii="仿宋" w:hAnsi="仿宋" w:eastAsia="仿宋"/>
          <w:b w:val="0"/>
          <w:bCs w:val="0"/>
        </w:rPr>
        <w:t>般公共预算财政拨款项目支出决算表</w:t>
      </w:r>
      <w:bookmarkEnd w:id="80"/>
      <w:bookmarkEnd w:id="81"/>
    </w:p>
    <w:p>
      <w:pPr>
        <w:pStyle w:val="4"/>
        <w:pageBreakBefore w:val="0"/>
        <w:kinsoku/>
        <w:wordWrap/>
        <w:overflowPunct/>
        <w:topLinePunct w:val="0"/>
        <w:bidi w:val="0"/>
        <w:adjustRightInd w:val="0"/>
        <w:snapToGrid w:val="0"/>
        <w:spacing w:before="0" w:line="560" w:lineRule="exact"/>
        <w:rPr>
          <w:rFonts w:ascii="仿宋" w:hAnsi="仿宋" w:eastAsia="仿宋"/>
        </w:rPr>
      </w:pPr>
      <w:bookmarkStart w:id="82" w:name="_Toc15396628"/>
      <w:bookmarkStart w:id="83" w:name="_Toc17603"/>
      <w:r>
        <w:rPr>
          <w:rStyle w:val="14"/>
          <w:rFonts w:hint="eastAsia" w:ascii="仿宋" w:hAnsi="仿宋" w:eastAsia="仿宋"/>
          <w:b w:val="0"/>
          <w:bCs w:val="0"/>
        </w:rPr>
        <w:t>十、</w:t>
      </w:r>
      <w:r>
        <w:rPr>
          <w:rFonts w:hint="eastAsia" w:ascii="仿宋" w:hAnsi="仿宋" w:eastAsia="仿宋"/>
          <w:b w:val="0"/>
        </w:rPr>
        <w:t>一</w:t>
      </w:r>
      <w:r>
        <w:rPr>
          <w:rStyle w:val="14"/>
          <w:rFonts w:hint="eastAsia" w:ascii="仿宋" w:hAnsi="仿宋" w:eastAsia="仿宋"/>
          <w:b w:val="0"/>
          <w:bCs w:val="0"/>
        </w:rPr>
        <w:t>般公共预算财政拨款“三公”经费支出决算表</w:t>
      </w:r>
      <w:bookmarkEnd w:id="82"/>
      <w:bookmarkEnd w:id="83"/>
    </w:p>
    <w:p>
      <w:pPr>
        <w:pStyle w:val="4"/>
        <w:pageBreakBefore w:val="0"/>
        <w:kinsoku/>
        <w:wordWrap/>
        <w:overflowPunct/>
        <w:topLinePunct w:val="0"/>
        <w:bidi w:val="0"/>
        <w:adjustRightInd w:val="0"/>
        <w:snapToGrid w:val="0"/>
        <w:spacing w:before="0" w:line="560" w:lineRule="exact"/>
        <w:rPr>
          <w:rFonts w:ascii="仿宋" w:hAnsi="仿宋" w:eastAsia="仿宋"/>
        </w:rPr>
      </w:pPr>
      <w:bookmarkStart w:id="84" w:name="_Toc7313"/>
      <w:bookmarkStart w:id="85" w:name="_Toc15396629"/>
      <w:r>
        <w:rPr>
          <w:rStyle w:val="14"/>
          <w:rFonts w:hint="eastAsia" w:ascii="仿宋" w:hAnsi="仿宋" w:eastAsia="仿宋"/>
          <w:b w:val="0"/>
          <w:bCs w:val="0"/>
        </w:rPr>
        <w:t>十一、</w:t>
      </w:r>
      <w:r>
        <w:rPr>
          <w:rFonts w:hint="eastAsia" w:ascii="仿宋" w:hAnsi="仿宋" w:eastAsia="仿宋"/>
          <w:b w:val="0"/>
        </w:rPr>
        <w:t>政</w:t>
      </w:r>
      <w:r>
        <w:rPr>
          <w:rStyle w:val="14"/>
          <w:rFonts w:hint="eastAsia" w:ascii="仿宋" w:hAnsi="仿宋" w:eastAsia="仿宋"/>
          <w:b w:val="0"/>
          <w:bCs w:val="0"/>
        </w:rPr>
        <w:t>府性基金预算财政拨款收入支出决算表</w:t>
      </w:r>
      <w:bookmarkEnd w:id="84"/>
      <w:bookmarkEnd w:id="85"/>
    </w:p>
    <w:p>
      <w:pPr>
        <w:pStyle w:val="4"/>
        <w:pageBreakBefore w:val="0"/>
        <w:kinsoku/>
        <w:wordWrap/>
        <w:overflowPunct/>
        <w:topLinePunct w:val="0"/>
        <w:bidi w:val="0"/>
        <w:adjustRightInd w:val="0"/>
        <w:snapToGrid w:val="0"/>
        <w:spacing w:before="0" w:line="560" w:lineRule="exact"/>
        <w:rPr>
          <w:rFonts w:ascii="仿宋" w:hAnsi="仿宋" w:eastAsia="仿宋"/>
          <w:b w:val="0"/>
        </w:rPr>
      </w:pPr>
      <w:bookmarkStart w:id="86" w:name="_Toc15396630"/>
      <w:bookmarkStart w:id="87" w:name="_Toc9382"/>
      <w:r>
        <w:rPr>
          <w:rFonts w:hint="eastAsia" w:ascii="仿宋" w:hAnsi="仿宋" w:eastAsia="仿宋"/>
          <w:b w:val="0"/>
        </w:rPr>
        <w:t>十二、政府性基金预算财政拨款“三公”经费支出决算表</w:t>
      </w:r>
      <w:bookmarkEnd w:id="86"/>
      <w:bookmarkEnd w:id="87"/>
    </w:p>
    <w:p>
      <w:pPr>
        <w:pStyle w:val="4"/>
        <w:pageBreakBefore w:val="0"/>
        <w:kinsoku/>
        <w:wordWrap/>
        <w:overflowPunct/>
        <w:topLinePunct w:val="0"/>
        <w:bidi w:val="0"/>
        <w:adjustRightInd w:val="0"/>
        <w:snapToGrid w:val="0"/>
        <w:spacing w:before="0" w:line="560" w:lineRule="exact"/>
        <w:rPr>
          <w:rFonts w:ascii="仿宋" w:hAnsi="仿宋" w:eastAsia="仿宋"/>
          <w:b w:val="0"/>
        </w:rPr>
      </w:pPr>
      <w:bookmarkStart w:id="88" w:name="_Toc22683"/>
      <w:r>
        <w:rPr>
          <w:rFonts w:hint="eastAsia" w:ascii="仿宋" w:hAnsi="仿宋" w:eastAsia="仿宋"/>
          <w:b w:val="0"/>
        </w:rPr>
        <w:t>十三、国有资本经营预算财政拨款收入支出决算表</w:t>
      </w:r>
      <w:bookmarkEnd w:id="88"/>
    </w:p>
    <w:p>
      <w:pPr>
        <w:pStyle w:val="4"/>
        <w:pageBreakBefore w:val="0"/>
        <w:kinsoku/>
        <w:wordWrap/>
        <w:overflowPunct/>
        <w:topLinePunct w:val="0"/>
        <w:bidi w:val="0"/>
        <w:adjustRightInd w:val="0"/>
        <w:snapToGrid w:val="0"/>
        <w:spacing w:before="0" w:line="560" w:lineRule="exact"/>
        <w:rPr>
          <w:rFonts w:ascii="仿宋" w:hAnsi="仿宋" w:eastAsia="仿宋"/>
          <w:b w:val="0"/>
        </w:rPr>
      </w:pPr>
      <w:bookmarkStart w:id="89" w:name="_Toc10257"/>
      <w:r>
        <w:rPr>
          <w:rFonts w:hint="eastAsia" w:ascii="仿宋" w:hAnsi="仿宋" w:eastAsia="仿宋"/>
          <w:b w:val="0"/>
        </w:rPr>
        <w:t>十四、国有资本经营预算财政拨款支出决算表</w:t>
      </w:r>
      <w:bookmarkEnd w:id="89"/>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等线">
    <w:altName w:val="宋体"/>
    <w:panose1 w:val="00000000000000000000"/>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17</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6504078C"/>
    <w:rsid w:val="00734956"/>
    <w:rsid w:val="0077619D"/>
    <w:rsid w:val="00EB0531"/>
    <w:rsid w:val="025B756E"/>
    <w:rsid w:val="02A01F8E"/>
    <w:rsid w:val="02C258A1"/>
    <w:rsid w:val="05490B04"/>
    <w:rsid w:val="06D96529"/>
    <w:rsid w:val="07A86EDA"/>
    <w:rsid w:val="08870325"/>
    <w:rsid w:val="0D2700EA"/>
    <w:rsid w:val="0D827293"/>
    <w:rsid w:val="0F107BB7"/>
    <w:rsid w:val="0F1F008A"/>
    <w:rsid w:val="0F3E14C9"/>
    <w:rsid w:val="0FD44521"/>
    <w:rsid w:val="16A405DD"/>
    <w:rsid w:val="17A47ACA"/>
    <w:rsid w:val="1A227BAB"/>
    <w:rsid w:val="1AA57927"/>
    <w:rsid w:val="1B822470"/>
    <w:rsid w:val="1CCD0CC6"/>
    <w:rsid w:val="1CF518CE"/>
    <w:rsid w:val="1D756C8F"/>
    <w:rsid w:val="1E6469D9"/>
    <w:rsid w:val="1F06778A"/>
    <w:rsid w:val="203256B5"/>
    <w:rsid w:val="21B12B20"/>
    <w:rsid w:val="278A6ADA"/>
    <w:rsid w:val="28D15644"/>
    <w:rsid w:val="293D1ECB"/>
    <w:rsid w:val="2AAA1A50"/>
    <w:rsid w:val="2B477B89"/>
    <w:rsid w:val="2C1A7AE5"/>
    <w:rsid w:val="2E6B4B7E"/>
    <w:rsid w:val="2E881E84"/>
    <w:rsid w:val="2F1C7AAD"/>
    <w:rsid w:val="30007BAA"/>
    <w:rsid w:val="30C8329C"/>
    <w:rsid w:val="32432477"/>
    <w:rsid w:val="33C162A2"/>
    <w:rsid w:val="365A3D35"/>
    <w:rsid w:val="380665FC"/>
    <w:rsid w:val="38BB19E7"/>
    <w:rsid w:val="39677677"/>
    <w:rsid w:val="3A2F6D7D"/>
    <w:rsid w:val="3BB67206"/>
    <w:rsid w:val="3CAE261E"/>
    <w:rsid w:val="3D124BBA"/>
    <w:rsid w:val="3D1E2FAA"/>
    <w:rsid w:val="3E4169FF"/>
    <w:rsid w:val="3E906F65"/>
    <w:rsid w:val="3EE01BB6"/>
    <w:rsid w:val="3F3416C8"/>
    <w:rsid w:val="3FB5162C"/>
    <w:rsid w:val="40526CBD"/>
    <w:rsid w:val="40BE33A8"/>
    <w:rsid w:val="414929C9"/>
    <w:rsid w:val="41CD0FC4"/>
    <w:rsid w:val="43A16B6E"/>
    <w:rsid w:val="451B61C6"/>
    <w:rsid w:val="46063929"/>
    <w:rsid w:val="4A693362"/>
    <w:rsid w:val="4A86596E"/>
    <w:rsid w:val="4B49647E"/>
    <w:rsid w:val="4CFB4D3D"/>
    <w:rsid w:val="4D4A76C6"/>
    <w:rsid w:val="4E0D1AE8"/>
    <w:rsid w:val="4FCC0DFD"/>
    <w:rsid w:val="50C50C99"/>
    <w:rsid w:val="511559BD"/>
    <w:rsid w:val="515D32FF"/>
    <w:rsid w:val="51CA5DCD"/>
    <w:rsid w:val="533A61CE"/>
    <w:rsid w:val="56BF7EC0"/>
    <w:rsid w:val="57D93932"/>
    <w:rsid w:val="59F76ECF"/>
    <w:rsid w:val="5B2B0207"/>
    <w:rsid w:val="5C460489"/>
    <w:rsid w:val="5CFA1A78"/>
    <w:rsid w:val="5D3E75DF"/>
    <w:rsid w:val="5E530AE8"/>
    <w:rsid w:val="5F70651C"/>
    <w:rsid w:val="604A7FCE"/>
    <w:rsid w:val="60D168CA"/>
    <w:rsid w:val="61666930"/>
    <w:rsid w:val="61CD2B89"/>
    <w:rsid w:val="626B4ED0"/>
    <w:rsid w:val="635A5EDD"/>
    <w:rsid w:val="64FD0636"/>
    <w:rsid w:val="6504078C"/>
    <w:rsid w:val="67283F12"/>
    <w:rsid w:val="676B5257"/>
    <w:rsid w:val="699B26EA"/>
    <w:rsid w:val="6ACE177F"/>
    <w:rsid w:val="6C8B6CD3"/>
    <w:rsid w:val="6CE25EC3"/>
    <w:rsid w:val="6D8176CC"/>
    <w:rsid w:val="6F147C4F"/>
    <w:rsid w:val="701A4645"/>
    <w:rsid w:val="71436ACC"/>
    <w:rsid w:val="726E3979"/>
    <w:rsid w:val="7466730A"/>
    <w:rsid w:val="77602F3B"/>
    <w:rsid w:val="785F3DE3"/>
    <w:rsid w:val="7BC54F2A"/>
    <w:rsid w:val="7CEC7002"/>
    <w:rsid w:val="7FC47829"/>
    <w:rsid w:val="7FD05D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4"/>
    <w:unhideWhenUsed/>
    <w:qFormat/>
    <w:uiPriority w:val="9"/>
    <w:pPr>
      <w:keepNext/>
      <w:keepLines/>
      <w:spacing w:before="260" w:after="260" w:line="416" w:lineRule="auto"/>
      <w:outlineLvl w:val="1"/>
    </w:pPr>
    <w:rPr>
      <w:rFonts w:ascii="Cambria" w:hAnsi="Cambria"/>
      <w:b/>
      <w:bCs/>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99"/>
    <w:pPr>
      <w:spacing w:beforeLines="30"/>
    </w:pPr>
    <w:rPr>
      <w:rFonts w:ascii="仿宋_GB2312"/>
      <w:kern w:val="0"/>
      <w:sz w:val="24"/>
      <w:szCs w:val="20"/>
    </w:rPr>
  </w:style>
  <w:style w:type="paragraph" w:styleId="5">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6">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7">
    <w:name w:val="toc 1"/>
    <w:basedOn w:val="1"/>
    <w:next w:val="1"/>
    <w:unhideWhenUsed/>
    <w:qFormat/>
    <w:uiPriority w:val="39"/>
    <w:pPr>
      <w:spacing w:before="120"/>
      <w:jc w:val="left"/>
    </w:pPr>
    <w:rPr>
      <w:rFonts w:ascii="等线" w:eastAsia="等线"/>
      <w:b/>
      <w:bCs/>
      <w:i/>
      <w:iCs/>
      <w:sz w:val="24"/>
    </w:rPr>
  </w:style>
  <w:style w:type="paragraph" w:styleId="8">
    <w:name w:val="toc 2"/>
    <w:basedOn w:val="1"/>
    <w:next w:val="1"/>
    <w:unhideWhenUsed/>
    <w:qFormat/>
    <w:uiPriority w:val="39"/>
    <w:pPr>
      <w:spacing w:before="120"/>
      <w:ind w:left="300"/>
      <w:jc w:val="left"/>
    </w:pPr>
    <w:rPr>
      <w:rFonts w:ascii="等线" w:eastAsia="等线"/>
      <w:b/>
      <w:bCs/>
      <w:sz w:val="22"/>
      <w:szCs w:val="22"/>
    </w:rPr>
  </w:style>
  <w:style w:type="character" w:styleId="11">
    <w:name w:val="Strong"/>
    <w:basedOn w:val="10"/>
    <w:qFormat/>
    <w:uiPriority w:val="99"/>
    <w:rPr>
      <w:rFonts w:cs="Times New Roman"/>
      <w:b/>
    </w:rPr>
  </w:style>
  <w:style w:type="character" w:styleId="12">
    <w:name w:val="Hyperlink"/>
    <w:unhideWhenUsed/>
    <w:qFormat/>
    <w:uiPriority w:val="99"/>
    <w:rPr>
      <w:color w:val="0000FF"/>
      <w:u w:val="single"/>
    </w:rPr>
  </w:style>
  <w:style w:type="character" w:customStyle="1" w:styleId="13">
    <w:name w:val="标题 1 Char"/>
    <w:basedOn w:val="10"/>
    <w:link w:val="3"/>
    <w:qFormat/>
    <w:locked/>
    <w:uiPriority w:val="9"/>
    <w:rPr>
      <w:b/>
      <w:bCs/>
      <w:kern w:val="44"/>
      <w:sz w:val="44"/>
      <w:szCs w:val="44"/>
    </w:rPr>
  </w:style>
  <w:style w:type="character" w:customStyle="1" w:styleId="14">
    <w:name w:val="标题 2 Char"/>
    <w:basedOn w:val="10"/>
    <w:link w:val="4"/>
    <w:qFormat/>
    <w:locked/>
    <w:uiPriority w:val="9"/>
    <w:rPr>
      <w:rFonts w:ascii="Cambria" w:hAnsi="Cambria"/>
      <w:b/>
      <w:bCs/>
      <w:sz w:val="32"/>
      <w:szCs w:val="32"/>
    </w:rPr>
  </w:style>
  <w:style w:type="paragraph" w:customStyle="1" w:styleId="15">
    <w:name w:val="列出段落1"/>
    <w:basedOn w:val="1"/>
    <w:qFormat/>
    <w:uiPriority w:val="34"/>
    <w:pPr>
      <w:ind w:firstLine="420" w:firstLineChars="200"/>
    </w:pPr>
  </w:style>
  <w:style w:type="paragraph" w:customStyle="1" w:styleId="1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17">
    <w:name w:val="Index 51"/>
    <w:basedOn w:val="1"/>
    <w:next w:val="1"/>
    <w:qFormat/>
    <w:uiPriority w:val="0"/>
    <w:pPr>
      <w:ind w:left="1680"/>
    </w:pPr>
  </w:style>
  <w:style w:type="character" w:customStyle="1" w:styleId="18">
    <w:name w:val=" Char Char6"/>
    <w:basedOn w:val="10"/>
    <w:link w:val="3"/>
    <w:uiPriority w:val="0"/>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7.emf"/><Relationship Id="rId17" Type="http://schemas.openxmlformats.org/officeDocument/2006/relationships/oleObject" Target="embeddings/oleObject7.bin"/><Relationship Id="rId16" Type="http://schemas.openxmlformats.org/officeDocument/2006/relationships/image" Target="media/image6.emf"/><Relationship Id="rId15" Type="http://schemas.openxmlformats.org/officeDocument/2006/relationships/oleObject" Target="embeddings/oleObject6.bin"/><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48</Pages>
  <Words>20511</Words>
  <Characters>3552</Characters>
  <Lines>29</Lines>
  <Paragraphs>48</Paragraphs>
  <TotalTime>6</TotalTime>
  <ScaleCrop>false</ScaleCrop>
  <LinksUpToDate>false</LinksUpToDate>
  <CharactersWithSpaces>24015</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Administrator</cp:lastModifiedBy>
  <dcterms:modified xsi:type="dcterms:W3CDTF">2021-11-12T06:39:45Z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6B5EA38C315242ED8D26521637B1EA1B</vt:lpwstr>
  </property>
</Properties>
</file>