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8"/>
        <w:ind w:left="1173" w:right="1157"/>
        <w:jc w:val="center"/>
      </w:pPr>
      <w:r>
        <w:pict>
          <v:shape id="_x0000_s1026" o:spid="_x0000_s1026" o:spt="202" type="#_x0000_t202" style="position:absolute;left:0pt;margin-left:73.55pt;margin-top:135.8pt;height:619.6pt;width:447.6pt;mso-position-horizontal-relative:page;mso-position-vertic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3"/>
                    <w:tblW w:w="0" w:type="auto"/>
                    <w:tblInd w:w="10" w:type="dxa"/>
                    <w:tblBorders>
                      <w:top w:val="single" w:color="000000" w:sz="8" w:space="0"/>
                      <w:left w:val="single" w:color="000000" w:sz="8" w:space="0"/>
                      <w:bottom w:val="single" w:color="000000" w:sz="8" w:space="0"/>
                      <w:right w:val="single" w:color="000000" w:sz="8" w:space="0"/>
                      <w:insideH w:val="single" w:color="000000" w:sz="8" w:space="0"/>
                      <w:insideV w:val="single" w:color="000000" w:sz="8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974"/>
                    <w:gridCol w:w="2474"/>
                    <w:gridCol w:w="2474"/>
                  </w:tblGrid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94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spacing w:before="171"/>
                          <w:ind w:left="1586" w:right="1553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项   目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spacing w:before="171"/>
                          <w:ind w:left="1002" w:right="969"/>
                          <w:jc w:val="center"/>
                          <w:rPr>
                            <w:rFonts w:hint="eastAsia" w:eastAsia="宋体"/>
                            <w:b/>
                            <w:sz w:val="22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  <w:lang w:eastAsia="zh-CN"/>
                          </w:rPr>
                          <w:t>全区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spacing w:before="171"/>
                          <w:ind w:left="576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其中：</w:t>
                        </w:r>
                        <w:r>
                          <w:rPr>
                            <w:rFonts w:hint="eastAsia"/>
                            <w:b/>
                            <w:sz w:val="22"/>
                            <w:lang w:eastAsia="zh-CN"/>
                          </w:rPr>
                          <w:t>区本</w:t>
                        </w:r>
                        <w:r>
                          <w:rPr>
                            <w:b/>
                            <w:sz w:val="22"/>
                          </w:rPr>
                          <w:t>级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ind w:left="37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一、2019年末地方政府债务余额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3"/>
                          <w:rPr>
                            <w:rFonts w:hint="default" w:eastAsia="宋体"/>
                            <w:b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  <w:lang w:val="en-US" w:eastAsia="zh-CN"/>
                          </w:rPr>
                          <w:t>20.41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ind w:left="0" w:leftChars="0" w:right="3" w:rightChars="0"/>
                          <w:rPr>
                            <w:rFonts w:hint="default" w:ascii="宋体" w:hAnsi="宋体" w:eastAsia="宋体" w:cs="宋体"/>
                            <w:b/>
                            <w:sz w:val="22"/>
                            <w:szCs w:val="22"/>
                            <w:lang w:val="en-US" w:eastAsia="zh-CN" w:bidi="zh-CN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  <w:lang w:val="en-US" w:eastAsia="zh-CN"/>
                          </w:rPr>
                          <w:t>20.41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ind w:left="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     一般债务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1"/>
                          <w:rPr>
                            <w:rFonts w:hint="default" w:eastAsia="宋体"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10.34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ind w:left="0" w:leftChars="0" w:right="1" w:rightChars="0"/>
                          <w:rPr>
                            <w:rFonts w:hint="default" w:ascii="宋体" w:hAnsi="宋体" w:eastAsia="宋体" w:cs="宋体"/>
                            <w:sz w:val="22"/>
                            <w:szCs w:val="22"/>
                            <w:lang w:val="en-US" w:eastAsia="zh-CN" w:bidi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10.34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ind w:left="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     专项债务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1"/>
                          <w:rPr>
                            <w:rFonts w:hint="default" w:eastAsia="宋体"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10.07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ind w:left="0" w:leftChars="0" w:right="1" w:rightChars="0"/>
                          <w:rPr>
                            <w:rFonts w:hint="default" w:ascii="宋体" w:hAnsi="宋体" w:eastAsia="宋体" w:cs="宋体"/>
                            <w:sz w:val="22"/>
                            <w:szCs w:val="22"/>
                            <w:lang w:val="en-US" w:eastAsia="zh-CN" w:bidi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10.07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spacing w:before="118"/>
                          <w:ind w:left="37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二、2019年地方政府债务限额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spacing w:before="118"/>
                          <w:ind w:right="5"/>
                          <w:rPr>
                            <w:rFonts w:hint="default" w:eastAsia="宋体"/>
                            <w:b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  <w:lang w:val="en-US" w:eastAsia="zh-CN"/>
                          </w:rPr>
                          <w:t>20.77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spacing w:before="118"/>
                          <w:ind w:left="0" w:leftChars="0" w:right="5" w:rightChars="0"/>
                          <w:rPr>
                            <w:rFonts w:hint="default" w:ascii="宋体" w:hAnsi="宋体" w:eastAsia="宋体" w:cs="宋体"/>
                            <w:b/>
                            <w:sz w:val="22"/>
                            <w:szCs w:val="22"/>
                            <w:lang w:val="en-US" w:eastAsia="zh-CN" w:bidi="zh-CN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  <w:lang w:val="en-US" w:eastAsia="zh-CN"/>
                          </w:rPr>
                          <w:t>20.77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ind w:left="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     一般债务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1"/>
                          <w:rPr>
                            <w:rFonts w:hint="default" w:eastAsia="宋体"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10.69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ind w:left="0" w:leftChars="0" w:right="1" w:rightChars="0"/>
                          <w:rPr>
                            <w:rFonts w:hint="default" w:ascii="宋体" w:hAnsi="宋体" w:eastAsia="宋体" w:cs="宋体"/>
                            <w:sz w:val="22"/>
                            <w:szCs w:val="22"/>
                            <w:lang w:val="en-US" w:eastAsia="zh-CN" w:bidi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10.69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ind w:left="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     专项债务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1"/>
                          <w:rPr>
                            <w:rFonts w:hint="default" w:eastAsia="宋体"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10.08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ind w:left="0" w:leftChars="0" w:right="1" w:rightChars="0"/>
                          <w:rPr>
                            <w:rFonts w:hint="default" w:ascii="宋体" w:hAnsi="宋体" w:eastAsia="宋体" w:cs="宋体"/>
                            <w:sz w:val="22"/>
                            <w:szCs w:val="22"/>
                            <w:lang w:val="en-US" w:eastAsia="zh-CN" w:bidi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10.08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ind w:left="37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三、2020年地方政府债券发行数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5"/>
                          <w:rPr>
                            <w:rFonts w:hint="default" w:eastAsia="宋体"/>
                            <w:b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  <w:lang w:val="en-US" w:eastAsia="zh-CN"/>
                          </w:rPr>
                          <w:t>8.72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ind w:left="0" w:leftChars="0" w:right="5" w:rightChars="0"/>
                          <w:rPr>
                            <w:rFonts w:hint="default" w:ascii="宋体" w:hAnsi="宋体" w:eastAsia="宋体" w:cs="宋体"/>
                            <w:b/>
                            <w:sz w:val="22"/>
                            <w:szCs w:val="22"/>
                            <w:lang w:val="en-US" w:eastAsia="zh-CN" w:bidi="zh-CN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  <w:lang w:val="en-US" w:eastAsia="zh-CN"/>
                          </w:rPr>
                          <w:t>8.72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spacing w:before="118"/>
                          <w:ind w:left="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     新增一般债券发行额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spacing w:before="118"/>
                          <w:ind w:right="1"/>
                          <w:rPr>
                            <w:rFonts w:hint="default" w:eastAsia="宋体"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1.02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spacing w:before="118"/>
                          <w:ind w:left="0" w:leftChars="0" w:right="1" w:rightChars="0"/>
                          <w:rPr>
                            <w:rFonts w:hint="default" w:ascii="宋体" w:hAnsi="宋体" w:eastAsia="宋体" w:cs="宋体"/>
                            <w:sz w:val="22"/>
                            <w:szCs w:val="22"/>
                            <w:lang w:val="en-US" w:eastAsia="zh-CN" w:bidi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1.02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spacing w:before="118"/>
                          <w:ind w:left="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     再融资一般债券发行额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spacing w:before="118"/>
                          <w:ind w:right="1"/>
                          <w:rPr>
                            <w:rFonts w:hint="default" w:eastAsia="宋体"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1.58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spacing w:before="118"/>
                          <w:ind w:left="0" w:leftChars="0" w:right="1" w:rightChars="0"/>
                          <w:rPr>
                            <w:rFonts w:hint="default" w:ascii="宋体" w:hAnsi="宋体" w:eastAsia="宋体" w:cs="宋体"/>
                            <w:sz w:val="22"/>
                            <w:szCs w:val="22"/>
                            <w:lang w:val="en-US" w:eastAsia="zh-CN" w:bidi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1.58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ind w:left="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     新增专项债券发行额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2"/>
                          <w:rPr>
                            <w:rFonts w:hint="default" w:eastAsia="宋体"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5.76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ind w:left="0" w:leftChars="0" w:right="2" w:rightChars="0"/>
                          <w:rPr>
                            <w:rFonts w:hint="default" w:ascii="宋体" w:hAnsi="宋体" w:eastAsia="宋体" w:cs="宋体"/>
                            <w:sz w:val="22"/>
                            <w:szCs w:val="22"/>
                            <w:lang w:val="en-US" w:eastAsia="zh-CN" w:bidi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5.76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ind w:left="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     再融资专项债券发行额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1"/>
                          <w:rPr>
                            <w:rFonts w:hint="default" w:eastAsia="宋体"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0.36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ind w:left="0" w:leftChars="0" w:right="1" w:rightChars="0"/>
                          <w:rPr>
                            <w:rFonts w:hint="default" w:ascii="宋体" w:hAnsi="宋体" w:eastAsia="宋体" w:cs="宋体"/>
                            <w:sz w:val="22"/>
                            <w:szCs w:val="22"/>
                            <w:lang w:val="en-US" w:eastAsia="zh-CN" w:bidi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0.36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ind w:left="37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四、2020年地方政府债务还本数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5"/>
                          <w:rPr>
                            <w:rFonts w:hint="default" w:eastAsia="宋体"/>
                            <w:b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  <w:lang w:val="en-US" w:eastAsia="zh-CN"/>
                          </w:rPr>
                          <w:t>1.94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5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  <w:lang w:val="en-US" w:eastAsia="zh-CN"/>
                          </w:rPr>
                          <w:t>1.94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ind w:left="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     一般债务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spacing w:before="118"/>
                          <w:ind w:left="0" w:leftChars="0" w:right="1" w:rightChars="0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1.58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spacing w:before="118"/>
                          <w:ind w:left="0" w:leftChars="0" w:right="1" w:rightChars="0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1.58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spacing w:before="118"/>
                          <w:ind w:left="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     专项债务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ind w:left="0" w:leftChars="0" w:right="1" w:rightChars="0"/>
                          <w:rPr>
                            <w:rFonts w:hint="default" w:ascii="宋体" w:hAnsi="宋体" w:eastAsia="宋体" w:cs="宋体"/>
                            <w:sz w:val="22"/>
                            <w:szCs w:val="22"/>
                            <w:lang w:val="en-US" w:eastAsia="zh-CN" w:bidi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0.36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ind w:left="0" w:leftChars="0" w:right="1" w:rightChars="0"/>
                          <w:rPr>
                            <w:rFonts w:hint="default" w:ascii="宋体" w:hAnsi="宋体" w:eastAsia="宋体" w:cs="宋体"/>
                            <w:sz w:val="22"/>
                            <w:szCs w:val="22"/>
                            <w:lang w:val="en-US" w:eastAsia="zh-CN" w:bidi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0.36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ind w:left="37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五、2020年地方政府债务付息数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5"/>
                          <w:rPr>
                            <w:rFonts w:hint="default" w:eastAsia="宋体"/>
                            <w:b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  <w:lang w:val="en-US" w:eastAsia="zh-CN"/>
                          </w:rPr>
                          <w:t>0.87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5"/>
                          <w:rPr>
                            <w:rFonts w:hint="default" w:eastAsia="宋体"/>
                            <w:b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  <w:lang w:val="en-US" w:eastAsia="zh-CN"/>
                          </w:rPr>
                          <w:t>0.87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ind w:left="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     一般债务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1"/>
                          <w:rPr>
                            <w:rFonts w:hint="default" w:eastAsia="宋体"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0.39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1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0.39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ind w:left="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     专项债务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ind w:left="0" w:leftChars="0" w:right="1" w:rightChars="0"/>
                          <w:rPr>
                            <w:rFonts w:hint="default" w:eastAsia="宋体"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0.48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ind w:left="0" w:leftChars="0" w:right="1" w:rightChars="0"/>
                          <w:rPr>
                            <w:rFonts w:hint="default" w:ascii="Times New Roman"/>
                            <w:sz w:val="22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0.48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spacing w:before="118"/>
                          <w:ind w:left="37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六、2020年末地方政府债务余额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spacing w:before="118"/>
                          <w:ind w:right="5"/>
                          <w:rPr>
                            <w:rFonts w:hint="default" w:eastAsia="宋体"/>
                            <w:b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  <w:lang w:val="en-US" w:eastAsia="zh-CN"/>
                          </w:rPr>
                          <w:t>27.19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spacing w:before="118"/>
                          <w:ind w:right="5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  <w:lang w:val="en-US" w:eastAsia="zh-CN"/>
                          </w:rPr>
                          <w:t>27.19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spacing w:before="118"/>
                          <w:ind w:left="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     一般债务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spacing w:before="118"/>
                          <w:ind w:right="2"/>
                          <w:rPr>
                            <w:rFonts w:hint="default" w:eastAsia="宋体"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11.35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spacing w:before="118"/>
                          <w:ind w:left="0" w:leftChars="0" w:right="2" w:rightChars="0"/>
                          <w:rPr>
                            <w:rFonts w:hint="default" w:ascii="宋体" w:hAnsi="宋体" w:eastAsia="宋体" w:cs="宋体"/>
                            <w:sz w:val="22"/>
                            <w:szCs w:val="22"/>
                            <w:lang w:val="en-US" w:eastAsia="zh-CN" w:bidi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11.35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ind w:left="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     专项债务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2"/>
                          <w:rPr>
                            <w:rFonts w:hint="default" w:eastAsia="宋体"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15.84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ind w:left="0" w:leftChars="0" w:right="2" w:rightChars="0"/>
                          <w:rPr>
                            <w:rFonts w:hint="default" w:ascii="宋体" w:hAnsi="宋体" w:eastAsia="宋体" w:cs="宋体"/>
                            <w:sz w:val="22"/>
                            <w:szCs w:val="22"/>
                            <w:lang w:val="en-US" w:eastAsia="zh-CN" w:bidi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15.84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ind w:left="37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七、2020年地方政府债务限额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5"/>
                          <w:rPr>
                            <w:rFonts w:hint="default" w:eastAsia="宋体"/>
                            <w:b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  <w:lang w:val="en-US" w:eastAsia="zh-CN"/>
                          </w:rPr>
                          <w:t>27.34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4"/>
                          <w:rPr>
                            <w:rFonts w:hint="default" w:eastAsia="宋体"/>
                            <w:b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  <w:lang w:val="en-US" w:eastAsia="zh-CN"/>
                          </w:rPr>
                          <w:t>27.34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ind w:left="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     一般债务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ind w:right="2"/>
                          <w:rPr>
                            <w:rFonts w:hint="default" w:eastAsia="宋体"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11.50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ind w:left="0" w:leftChars="0" w:right="2" w:rightChars="0"/>
                          <w:rPr>
                            <w:rFonts w:hint="default" w:eastAsia="宋体"/>
                            <w:sz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11.50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1" w:hRule="atLeast"/>
                    </w:trPr>
                    <w:tc>
                      <w:tcPr>
                        <w:tcW w:w="3974" w:type="dxa"/>
                      </w:tcPr>
                      <w:p>
                        <w:pPr>
                          <w:pStyle w:val="7"/>
                          <w:spacing w:before="118"/>
                          <w:ind w:left="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     专项债务</w:t>
                        </w:r>
                      </w:p>
                    </w:tc>
                    <w:tc>
                      <w:tcPr>
                        <w:tcW w:w="2474" w:type="dxa"/>
                      </w:tcPr>
                      <w:p>
                        <w:pPr>
                          <w:pStyle w:val="7"/>
                          <w:spacing w:before="118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15.84</w:t>
                        </w:r>
                      </w:p>
                    </w:tc>
                    <w:tc>
                      <w:tcPr>
                        <w:tcW w:w="2474" w:type="dxa"/>
                        <w:vAlign w:val="top"/>
                      </w:tcPr>
                      <w:p>
                        <w:pPr>
                          <w:pStyle w:val="7"/>
                          <w:spacing w:before="118"/>
                          <w:ind w:left="0" w:leftChars="0" w:right="2" w:rightChars="0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lang w:val="en-US" w:eastAsia="zh-CN"/>
                          </w:rPr>
                          <w:t>15.84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t>2020年</w:t>
      </w:r>
      <w:r>
        <w:rPr>
          <w:rFonts w:hint="eastAsia"/>
          <w:lang w:eastAsia="zh-CN"/>
        </w:rPr>
        <w:t>贡井区</w:t>
      </w:r>
      <w:bookmarkStart w:id="0" w:name="_GoBack"/>
      <w:bookmarkEnd w:id="0"/>
      <w:r>
        <w:t>地方政府债务相关情况表</w:t>
      </w:r>
    </w:p>
    <w:p>
      <w:pPr>
        <w:spacing w:before="104"/>
        <w:ind w:left="0" w:right="143" w:firstLine="0"/>
        <w:jc w:val="right"/>
        <w:rPr>
          <w:sz w:val="22"/>
        </w:rPr>
      </w:pPr>
      <w:r>
        <w:rPr>
          <w:sz w:val="22"/>
        </w:rPr>
        <w:t>单位：亿元</w:t>
      </w:r>
    </w:p>
    <w:sectPr>
      <w:type w:val="continuous"/>
      <w:pgSz w:w="11910" w:h="16840"/>
      <w:pgMar w:top="1580" w:right="1380" w:bottom="280" w:left="13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光小标宋_CNK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2C527124"/>
    <w:rsid w:val="488938F2"/>
    <w:rsid w:val="498E1D74"/>
    <w:rsid w:val="5C1E0D3C"/>
    <w:rsid w:val="719959C5"/>
    <w:rsid w:val="75717FDB"/>
    <w:rsid w:val="7AC236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华光小标宋_CNKI" w:hAnsi="华光小标宋_CNKI" w:eastAsia="华光小标宋_CNKI" w:cs="华光小标宋_CNKI"/>
      <w:sz w:val="40"/>
      <w:szCs w:val="40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pPr>
      <w:spacing w:before="119"/>
      <w:jc w:val="right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2022-02-11T01:25:00Z</dcterms:created>
  <dc:creator>Administrator</dc:creator>
  <cp:lastModifiedBy>一页书</cp:lastModifiedBy>
  <dcterms:modified xsi:type="dcterms:W3CDTF">2022-02-13T07:28:09Z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迅捷PDF编辑器 6.0.322.7</vt:lpwstr>
  </property>
  <property fmtid="{D5CDD505-2E9C-101B-9397-08002B2CF9AE}" pid="4" name="LastSaved">
    <vt:filetime>2022-02-11T00:00:00Z</vt:filetime>
  </property>
  <property fmtid="{D5CDD505-2E9C-101B-9397-08002B2CF9AE}" pid="5" name="KSOProductBuildVer">
    <vt:lpwstr>2052-11.1.0.11294</vt:lpwstr>
  </property>
  <property fmtid="{D5CDD505-2E9C-101B-9397-08002B2CF9AE}" pid="6" name="ICV">
    <vt:lpwstr>B86EF376F8A042E59617426F0F6BFF4F</vt:lpwstr>
  </property>
</Properties>
</file>