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自贡市贡井区筱溪街道办事处</w:t>
      </w: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关于20</w:t>
      </w:r>
      <w:r>
        <w:rPr>
          <w:rFonts w:hint="eastAsia" w:ascii="方正小标宋简体" w:eastAsia="方正小标宋简体"/>
          <w:color w:val="auto"/>
          <w:sz w:val="44"/>
          <w:szCs w:val="44"/>
          <w:lang w:val="en-US" w:eastAsia="zh-CN"/>
        </w:rPr>
        <w:t>22</w:t>
      </w:r>
      <w:r>
        <w:rPr>
          <w:rFonts w:hint="eastAsia" w:ascii="方正小标宋简体" w:eastAsia="方正小标宋简体"/>
          <w:color w:val="auto"/>
          <w:sz w:val="44"/>
          <w:szCs w:val="44"/>
        </w:rPr>
        <w:t>年部门预算编制的说明</w:t>
      </w:r>
    </w:p>
    <w:p>
      <w:pPr>
        <w:jc w:val="center"/>
        <w:rPr>
          <w:rFonts w:hint="eastAsia" w:ascii="方正小标宋简体" w:eastAsia="方正小标宋简体"/>
          <w:color w:val="auto"/>
          <w:sz w:val="44"/>
          <w:szCs w:val="44"/>
        </w:rPr>
      </w:pPr>
      <w:r>
        <w:rPr>
          <w:rFonts w:hint="eastAsia" w:ascii="仿宋_GB2312" w:eastAsia="仿宋_GB2312"/>
          <w:color w:val="auto"/>
          <w:sz w:val="32"/>
          <w:szCs w:val="32"/>
          <w:lang w:val="en-US" w:eastAsia="zh-CN"/>
        </w:rPr>
        <w:t>公开时间：2021年12月15日</w:t>
      </w:r>
    </w:p>
    <w:p>
      <w:pPr>
        <w:widowControl/>
        <w:jc w:val="center"/>
        <w:rPr>
          <w:rFonts w:hint="eastAsia" w:ascii="黑体" w:hAnsi="黑体" w:eastAsia="黑体"/>
          <w:color w:val="auto"/>
          <w:sz w:val="48"/>
          <w:szCs w:val="48"/>
        </w:rPr>
      </w:pPr>
      <w:r>
        <w:rPr>
          <w:rFonts w:hint="eastAsia" w:ascii="黑体" w:hAnsi="黑体" w:eastAsia="黑体"/>
          <w:color w:val="auto"/>
          <w:sz w:val="48"/>
          <w:szCs w:val="48"/>
        </w:rPr>
        <w:t>目录</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一、基本职能及主要工作</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（一）部门职能简介</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（二）部门2022年重点工作</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二、部门概况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- 6 -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三、收支预算情况说明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（一）收入预算情况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- 7 -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（二）支出预算情况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- 7 -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四、财政拨款收支预算情况说明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五、一般公共预算当年拨款情况说明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- 8 -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（一）一般公共预算当年拨款规模变化情况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- 8 -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（二）一般公共预算当年拨款结构情况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（三）一般公共预算当年拨款具体使用情况：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六、一般公共预算基本支出情况说明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七、“三公”经费财政拨款预算安排情况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八、政府性基金预算支出情况说明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九、国有资本经营预算支出情况说明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十、其他重要事项的情况说明</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（一）机关运行经费情况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11</w:t>
      </w:r>
      <w:bookmarkStart w:id="0" w:name="_GoBack"/>
      <w:bookmarkEnd w:id="0"/>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（二）政府采购情况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（三）国有资产占有使用情况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（四）绩效目标设置情况</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十一、名词解释</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ascii="仿宋_GB2312" w:eastAsia="仿宋_GB2312"/>
          <w:color w:val="auto"/>
          <w:sz w:val="28"/>
          <w:szCs w:val="28"/>
        </w:rPr>
      </w:pPr>
      <w:r>
        <w:rPr>
          <w:rFonts w:hint="eastAsia" w:ascii="仿宋_GB2312" w:eastAsia="仿宋_GB2312"/>
          <w:color w:val="auto"/>
          <w:sz w:val="28"/>
          <w:szCs w:val="28"/>
        </w:rPr>
        <w:t>附件</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- 1</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 xml:space="preserve"> -</w:t>
      </w: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rPr>
          <w:rFonts w:hint="eastAsia" w:ascii="仿宋_GB2312" w:eastAsia="仿宋_GB2312"/>
          <w:b w:val="0"/>
          <w:bCs w:val="0"/>
          <w:i w:val="0"/>
          <w:iCs w:val="0"/>
          <w:color w:val="auto"/>
          <w:sz w:val="28"/>
          <w:szCs w:val="28"/>
          <w:highlight w:val="none"/>
          <w:lang w:val="zh-CN"/>
        </w:rPr>
      </w:pPr>
    </w:p>
    <w:p>
      <w:pPr>
        <w:numPr>
          <w:ilvl w:val="0"/>
          <w:numId w:val="1"/>
        </w:numPr>
        <w:spacing w:line="580" w:lineRule="exact"/>
        <w:rPr>
          <w:rFonts w:hint="eastAsia" w:ascii="黑体" w:eastAsia="黑体"/>
          <w:color w:val="auto"/>
          <w:sz w:val="32"/>
          <w:szCs w:val="32"/>
        </w:rPr>
      </w:pPr>
      <w:r>
        <w:rPr>
          <w:rFonts w:hint="eastAsia" w:ascii="黑体" w:eastAsia="黑体"/>
          <w:color w:val="auto"/>
          <w:sz w:val="32"/>
          <w:szCs w:val="32"/>
        </w:rPr>
        <w:t>基本职能及主要工作</w:t>
      </w:r>
    </w:p>
    <w:p>
      <w:pPr>
        <w:spacing w:line="590" w:lineRule="exact"/>
        <w:ind w:firstLine="640" w:firstLineChars="200"/>
        <w:rPr>
          <w:rFonts w:hint="eastAsia"/>
          <w:color w:val="auto"/>
          <w:sz w:val="32"/>
          <w:szCs w:val="32"/>
        </w:rPr>
      </w:pPr>
      <w:r>
        <w:rPr>
          <w:rFonts w:hint="eastAsia"/>
          <w:color w:val="auto"/>
          <w:sz w:val="32"/>
          <w:szCs w:val="32"/>
        </w:rPr>
        <w:t>（一）基本职能</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1.宣传贯彻宪法、法律、法规和国家政策，指导教育居民履行法律规定的义务，合理利用自然资源，保护和改善生态环境，维护居民的合法权益，积极参与社会公益事业，监督</w:t>
      </w:r>
      <w:r>
        <w:rPr>
          <w:rFonts w:hint="eastAsia" w:ascii="仿宋_GB2312" w:eastAsia="仿宋_GB2312"/>
          <w:color w:val="auto"/>
          <w:sz w:val="32"/>
          <w:szCs w:val="32"/>
        </w:rPr>
        <w:t>爱护</w:t>
      </w:r>
      <w:r>
        <w:rPr>
          <w:rFonts w:ascii="仿宋_GB2312" w:eastAsia="仿宋_GB2312"/>
          <w:color w:val="auto"/>
          <w:sz w:val="32"/>
          <w:szCs w:val="32"/>
        </w:rPr>
        <w:t>公共财产；</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2.组织领导街道区域经济工作，制定街道经济发展规划，检查、督促各经济组织开展工作；</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3.依法在辖区开展调解、社会治安、劳动就业、公共文化卫生、计划生育、优抚救济、社会保障、双拥、青少年教育、外来人口管理及征兵等工作，保障辖区内政治稳定和社会安定；</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4.做好辖区内街道办事处所负责区域的市容卫生、环境保护和绿化美化等工作；</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5.办理辖区居民的公共事务，开展共驻共建，指导、督促社区居委会完成上级部署的各项工作任务；</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6.做好辖区文化教育，普及科学知识，开展系列文体娱乐活动，建设社会主义精神文明；</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7.参与城市建设、危房改造及住宅小区的管理工作；</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8.配合有关部门做好安全生产、防空、防汛、防震、交通管理、抢险救灾等工作；</w:t>
      </w:r>
    </w:p>
    <w:p>
      <w:pPr>
        <w:spacing w:line="59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9.向上级政府反映人民群众的意见和要求，办理人民群众来访来信事项，做好为人民群众服务工作；</w:t>
      </w:r>
    </w:p>
    <w:p>
      <w:pPr>
        <w:spacing w:line="590" w:lineRule="exact"/>
        <w:ind w:firstLine="640" w:firstLineChars="200"/>
        <w:rPr>
          <w:rFonts w:hint="eastAsia" w:ascii="仿宋_GB2312" w:eastAsia="仿宋_GB2312"/>
          <w:color w:val="auto"/>
          <w:sz w:val="28"/>
          <w:szCs w:val="28"/>
        </w:rPr>
      </w:pPr>
      <w:r>
        <w:rPr>
          <w:rFonts w:ascii="仿宋_GB2312" w:eastAsia="仿宋_GB2312"/>
          <w:color w:val="auto"/>
          <w:sz w:val="32"/>
          <w:szCs w:val="32"/>
        </w:rPr>
        <w:t>10.完成区委、区政府交办的其他工作。</w:t>
      </w:r>
    </w:p>
    <w:p>
      <w:pPr>
        <w:autoSpaceDE w:val="0"/>
        <w:autoSpaceDN w:val="0"/>
        <w:adjustRightInd w:val="0"/>
        <w:ind w:left="412" w:leftChars="196"/>
        <w:jc w:val="left"/>
        <w:rPr>
          <w:rFonts w:hint="eastAsia" w:eastAsia="宋体"/>
          <w:color w:val="auto"/>
          <w:sz w:val="32"/>
          <w:szCs w:val="32"/>
          <w:lang w:eastAsia="zh-CN"/>
        </w:rPr>
      </w:pPr>
      <w:r>
        <w:rPr>
          <w:rFonts w:hint="eastAsia"/>
          <w:color w:val="auto"/>
          <w:sz w:val="32"/>
          <w:szCs w:val="32"/>
        </w:rPr>
        <w:t>（二）202</w:t>
      </w:r>
      <w:r>
        <w:rPr>
          <w:rFonts w:hint="eastAsia"/>
          <w:color w:val="auto"/>
          <w:sz w:val="32"/>
          <w:szCs w:val="32"/>
          <w:lang w:val="en-US" w:eastAsia="zh-CN"/>
        </w:rPr>
        <w:t>2</w:t>
      </w:r>
      <w:r>
        <w:rPr>
          <w:rFonts w:hint="eastAsia"/>
          <w:color w:val="auto"/>
          <w:sz w:val="32"/>
          <w:szCs w:val="32"/>
        </w:rPr>
        <w:t>年重点工作</w:t>
      </w:r>
    </w:p>
    <w:p>
      <w:pPr>
        <w:autoSpaceDE w:val="0"/>
        <w:autoSpaceDN w:val="0"/>
        <w:adjustRightInd w:val="0"/>
        <w:ind w:left="412" w:leftChars="196"/>
        <w:jc w:val="left"/>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rPr>
        <w:t>A、坚持党建引领，构建基层治理新格局</w:t>
      </w:r>
    </w:p>
    <w:p>
      <w:pPr>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积极发挥党组织的“总揽全局、协调各方”作用，将党组织的政治优势、组织优势、群众优势转化为治理优势。一是坚持党建引领，建强“红色阵地”。以党建网格化为载体，以“友邻党建”为核心，推动辖区各方力量融入融合，打造邻里共建、守望相助“红色阵地”，依托厘清“项目、需求、资源”三张清单，有机联结区域内外党组织，服务基层、服务群众。二是强化资源整合，搭建治理平台。提升“两委一圈”资源平台治理质效，不断壮大“红色朋友圈”力量，通过结对共建，优势互补、资源整合，推动形成多元主体参紧密结合的共建、共治、共享社会治理新格局。三是深化群众自治，构建治理途径。依托社工站的建设，实施“找、引、育、培”社工培育工程，壮大社区自治队伍。充分发挥“红色议事会”、线上议事等现有平台的作用，打造“筱溪夜话”等新型载体，不断提升广大居民群众参与社区治理的积极性，形成“共议辖区事”的良性治理格局，不断提升居民的参与感、获得感和幸福感。</w:t>
      </w:r>
    </w:p>
    <w:p>
      <w:pPr>
        <w:autoSpaceDE w:val="0"/>
        <w:autoSpaceDN w:val="0"/>
        <w:adjustRightInd w:val="0"/>
        <w:ind w:left="412" w:leftChars="196"/>
        <w:jc w:val="left"/>
        <w:rPr>
          <w:rFonts w:hint="default" w:ascii="仿宋_GB2312" w:hAnsi="宋体" w:eastAsia="仿宋_GB2312"/>
          <w:b/>
          <w:color w:val="auto"/>
          <w:sz w:val="32"/>
          <w:szCs w:val="32"/>
          <w:lang w:val="en-US" w:eastAsia="zh-CN"/>
        </w:rPr>
      </w:pPr>
      <w:r>
        <w:rPr>
          <w:rFonts w:hint="eastAsia" w:ascii="仿宋_GB2312" w:hAnsi="宋体" w:eastAsia="仿宋_GB2312"/>
          <w:b/>
          <w:color w:val="auto"/>
          <w:sz w:val="32"/>
          <w:szCs w:val="32"/>
        </w:rPr>
        <w:t>B、坚持服务民生，提升基层服务新实效</w:t>
      </w:r>
      <w:r>
        <w:rPr>
          <w:rFonts w:hint="eastAsia" w:ascii="仿宋_GB2312" w:hAnsi="宋体" w:eastAsia="仿宋_GB2312"/>
          <w:b/>
          <w:color w:val="auto"/>
          <w:sz w:val="32"/>
          <w:szCs w:val="32"/>
          <w:lang w:val="en-US" w:eastAsia="zh-CN"/>
        </w:rPr>
        <w:t xml:space="preserve">                                                               </w:t>
      </w:r>
    </w:p>
    <w:p>
      <w:pPr>
        <w:autoSpaceDE w:val="0"/>
        <w:autoSpaceDN w:val="0"/>
        <w:adjustRightInd w:val="0"/>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强化社区便民功能，搭建群众连心桥，坚持服务优先、高效利用原则，全部完成街道区域化党群服务中心建设和社区党群服务中心亲民化改造。优化服务体系，深入推进便民服务体系试点工作，优化“综合窗口”和“办不成事窗口”管理，实现群众需求“一窗受理”，持续推行延时、预约和上门服务，充分发挥党群服务分中心，努力优化服务群众“最后一米”。做深做实基础保障工作，认真贯彻落实各项惠民政策，实现“应保尽保”、“应救尽救”，努力让惠民政策为困难群众“保驾护航”，切实增进民生福祉。积极落实就业和再就业方针政策，加大培训力度，拓宽就业渠道，合理使用公益性岗位，严格控制登记失业率，不断提高群众幸福感、满意度。</w:t>
      </w:r>
    </w:p>
    <w:p>
      <w:pPr>
        <w:autoSpaceDE w:val="0"/>
        <w:autoSpaceDN w:val="0"/>
        <w:adjustRightInd w:val="0"/>
        <w:ind w:firstLine="643" w:firstLineChars="200"/>
        <w:jc w:val="left"/>
        <w:rPr>
          <w:rFonts w:hint="eastAsia" w:ascii="仿宋_GB2312" w:hAnsi="宋体" w:eastAsia="仿宋_GB2312"/>
          <w:b/>
          <w:color w:val="auto"/>
          <w:sz w:val="32"/>
          <w:szCs w:val="32"/>
        </w:rPr>
      </w:pPr>
      <w:r>
        <w:rPr>
          <w:rFonts w:hint="eastAsia" w:ascii="仿宋_GB2312" w:hAnsi="宋体" w:eastAsia="仿宋_GB2312"/>
          <w:b/>
          <w:color w:val="auto"/>
          <w:sz w:val="32"/>
          <w:szCs w:val="32"/>
        </w:rPr>
        <w:t>C、坚持综合施策，激发基层攻坚新动能</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一是持续推进两项改革“后半篇”文章 ，深入分析街情民情，对各社区管辖区域进行进一步的调整，建强工作队伍，健全管理机制，通过不断优化社区规模，明确管理权责，提升管理效率，不断提升城市社区为民服务的能力和水平。二是坚持抓好疫情防控阻击战，聚焦重点领域、重点场所、重点人员，密切关注疫情防控形势，因时因势调整街道疫情防控方案，筑牢常态化疫情防控铜墙铁壁。三是持续做好环境卫生工作。抓实背街小巷、卫生死角、“两河”河岸等重点区域环境整治，不断美化居民群众生活环境，高标准环境保护要求。四是全力推进项目建设工作。积极同上级部门联系，统筹联络资金，多方筹措推动街道老旧小区改造、棚户区改造等重点项目落地。</w:t>
      </w:r>
    </w:p>
    <w:p>
      <w:pPr>
        <w:autoSpaceDE w:val="0"/>
        <w:autoSpaceDN w:val="0"/>
        <w:adjustRightInd w:val="0"/>
        <w:ind w:firstLine="643" w:firstLineChars="200"/>
        <w:jc w:val="left"/>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D</w:t>
      </w:r>
      <w:r>
        <w:rPr>
          <w:rFonts w:hint="eastAsia" w:ascii="仿宋_GB2312" w:hAnsi="宋体" w:eastAsia="仿宋_GB2312"/>
          <w:b/>
          <w:color w:val="auto"/>
          <w:sz w:val="32"/>
          <w:szCs w:val="32"/>
        </w:rPr>
        <w:t>、坚持法治保障，筑牢基层安全新防线</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全力做好依法治区各项工作，做到法治宣传进社区、进楼栋、进家庭，引导居民用法律解决问题，着力培养法治观念。加强居民信访问题、矛盾纠纷问题、安全隐患问题、治安问题等协调处置工作，坚持召开“五个”分析排查会，做好信访突出问题和矛盾纠纷化解工作，做细涉稳问题摸排，强化社会面管控。强化特殊人员管控，落实特殊人群管理服务工作。常态化排查整治重点区域、重点部位安全隐患，落实国防工作制度，加强网格员日常管理，不断提高辖区群众的安全感。</w:t>
      </w:r>
    </w:p>
    <w:p>
      <w:pPr>
        <w:spacing w:line="580" w:lineRule="exact"/>
        <w:ind w:firstLine="640" w:firstLineChars="200"/>
        <w:rPr>
          <w:rFonts w:hint="eastAsia" w:ascii="黑体" w:eastAsia="黑体"/>
          <w:color w:val="auto"/>
          <w:sz w:val="32"/>
          <w:szCs w:val="32"/>
        </w:rPr>
      </w:pPr>
      <w:r>
        <w:rPr>
          <w:rFonts w:hint="eastAsia" w:ascii="黑体" w:eastAsia="黑体"/>
          <w:color w:val="auto"/>
          <w:sz w:val="32"/>
          <w:szCs w:val="32"/>
        </w:rPr>
        <w:t>二、部门概况</w:t>
      </w:r>
    </w:p>
    <w:p>
      <w:pPr>
        <w:pStyle w:val="2"/>
        <w:adjustRightInd w:val="0"/>
        <w:snapToGrid w:val="0"/>
        <w:spacing w:line="580" w:lineRule="exact"/>
        <w:ind w:firstLine="672" w:firstLineChars="210"/>
        <w:rPr>
          <w:rFonts w:hint="eastAsia"/>
          <w:color w:val="auto"/>
          <w:sz w:val="32"/>
          <w:szCs w:val="32"/>
        </w:rPr>
      </w:pPr>
      <w:r>
        <w:rPr>
          <w:rFonts w:hint="eastAsia"/>
          <w:color w:val="auto"/>
          <w:sz w:val="32"/>
          <w:szCs w:val="32"/>
        </w:rPr>
        <w:t>筱溪街办事处属区政府派出机构。内设党政综合办公室、综合行政执法办公室、社会事务管理办公室、社会治理办公室、应急管理办公室、</w:t>
      </w:r>
      <w:r>
        <w:rPr>
          <w:rFonts w:hint="eastAsia"/>
          <w:color w:val="auto"/>
          <w:sz w:val="32"/>
          <w:szCs w:val="32"/>
          <w:lang w:val="en-US" w:eastAsia="zh-CN"/>
        </w:rPr>
        <w:t>行政审批办公室、</w:t>
      </w:r>
      <w:r>
        <w:rPr>
          <w:color w:val="auto"/>
          <w:sz w:val="32"/>
          <w:szCs w:val="32"/>
        </w:rPr>
        <w:t>党群服务中心、便民服务中心、社区治理服务中心、文化综合服务中心</w:t>
      </w:r>
      <w:r>
        <w:rPr>
          <w:rFonts w:hint="eastAsia"/>
          <w:color w:val="auto"/>
          <w:sz w:val="32"/>
          <w:szCs w:val="32"/>
          <w:lang w:eastAsia="zh-CN"/>
        </w:rPr>
        <w:t>、</w:t>
      </w:r>
      <w:r>
        <w:rPr>
          <w:color w:val="auto"/>
          <w:sz w:val="32"/>
          <w:szCs w:val="32"/>
        </w:rPr>
        <w:t>重大项目服务中心</w:t>
      </w:r>
      <w:r>
        <w:rPr>
          <w:rFonts w:hint="eastAsia"/>
          <w:color w:val="auto"/>
          <w:sz w:val="32"/>
          <w:szCs w:val="32"/>
          <w:lang w:val="en-US" w:eastAsia="zh-CN"/>
        </w:rPr>
        <w:t>和综合行政执法中队</w:t>
      </w:r>
      <w:r>
        <w:rPr>
          <w:rFonts w:hint="eastAsia"/>
          <w:color w:val="auto"/>
          <w:sz w:val="32"/>
          <w:szCs w:val="32"/>
        </w:rPr>
        <w:t>。</w:t>
      </w:r>
    </w:p>
    <w:p>
      <w:pPr>
        <w:spacing w:line="580" w:lineRule="exact"/>
        <w:ind w:firstLine="640" w:firstLineChars="200"/>
        <w:rPr>
          <w:rFonts w:hint="eastAsia" w:ascii="黑体" w:eastAsia="黑体"/>
          <w:color w:val="auto"/>
          <w:sz w:val="32"/>
          <w:szCs w:val="32"/>
        </w:rPr>
      </w:pPr>
      <w:r>
        <w:rPr>
          <w:rFonts w:hint="eastAsia" w:ascii="黑体" w:eastAsia="黑体"/>
          <w:color w:val="auto"/>
          <w:sz w:val="32"/>
          <w:szCs w:val="32"/>
        </w:rPr>
        <w:t>三、收支预算总体情况</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按照综合预算的原则，筱溪街所有收入和支出均纳入部门预算管理。收入包括：一般公共预算拨款收入、上年结转；支出包括：一般公共服务支出、公共安全支出、社会保障和就业支出、医疗卫生与计划生育支出、住房保障支出、城乡社区支出、农林水支出。筱溪街2</w:t>
      </w:r>
      <w:r>
        <w:rPr>
          <w:rFonts w:hint="eastAsia" w:ascii="仿宋_GB2312" w:eastAsia="仿宋_GB2312"/>
          <w:color w:val="auto"/>
          <w:sz w:val="32"/>
          <w:szCs w:val="32"/>
          <w:lang w:val="en-US" w:eastAsia="zh-CN"/>
        </w:rPr>
        <w:t>022</w:t>
      </w:r>
      <w:r>
        <w:rPr>
          <w:rFonts w:hint="eastAsia" w:ascii="仿宋_GB2312" w:eastAsia="仿宋_GB2312"/>
          <w:color w:val="auto"/>
          <w:sz w:val="32"/>
          <w:szCs w:val="32"/>
        </w:rPr>
        <w:t>年收支总预算</w:t>
      </w:r>
      <w:r>
        <w:rPr>
          <w:rFonts w:hint="eastAsia" w:ascii="仿宋_GB2312" w:eastAsia="仿宋_GB2312"/>
          <w:color w:val="auto"/>
          <w:sz w:val="32"/>
          <w:szCs w:val="32"/>
          <w:lang w:val="en-US" w:eastAsia="zh-CN"/>
        </w:rPr>
        <w:t>1226.80</w:t>
      </w:r>
      <w:r>
        <w:rPr>
          <w:rFonts w:hint="eastAsia" w:ascii="仿宋_GB2312" w:eastAsia="仿宋_GB2312"/>
          <w:color w:val="auto"/>
          <w:sz w:val="32"/>
          <w:szCs w:val="32"/>
        </w:rPr>
        <w:t>万元，比20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年收支预算总数增加</w:t>
      </w:r>
      <w:r>
        <w:rPr>
          <w:rFonts w:hint="eastAsia" w:ascii="仿宋_GB2312" w:eastAsia="仿宋_GB2312"/>
          <w:color w:val="auto"/>
          <w:sz w:val="32"/>
          <w:szCs w:val="32"/>
          <w:lang w:val="en-US" w:eastAsia="zh-CN"/>
        </w:rPr>
        <w:t>302.07</w:t>
      </w:r>
      <w:r>
        <w:rPr>
          <w:rFonts w:hint="eastAsia" w:ascii="仿宋_GB2312" w:eastAsia="仿宋_GB2312"/>
          <w:color w:val="auto"/>
          <w:sz w:val="32"/>
          <w:szCs w:val="32"/>
        </w:rPr>
        <w:t>万元，主要原因是本年支出费用增加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包括本单位2022年新进公务员2名、参公人员2名和事业单位人员4名带来的办公经费、人员经费增加，社区办公经费的统一调标提高和</w:t>
      </w:r>
      <w:r>
        <w:rPr>
          <w:rFonts w:hint="eastAsia" w:ascii="仿宋_GB2312" w:eastAsia="仿宋_GB2312"/>
          <w:color w:val="auto"/>
          <w:sz w:val="32"/>
          <w:szCs w:val="32"/>
        </w:rPr>
        <w:t>洞桥失地农民生活补助</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92" w:lineRule="exact"/>
        <w:ind w:firstLine="663" w:firstLineChars="200"/>
        <w:textAlignment w:val="auto"/>
        <w:rPr>
          <w:rFonts w:hint="eastAsia" w:ascii="楷体_GB2312" w:hAnsi="楷体_GB2312" w:eastAsia="楷体_GB2312" w:cs="楷体_GB2312"/>
          <w:b/>
          <w:bCs/>
          <w:color w:val="auto"/>
          <w:sz w:val="33"/>
          <w:szCs w:val="33"/>
        </w:rPr>
      </w:pPr>
      <w:r>
        <w:rPr>
          <w:rFonts w:hint="eastAsia" w:ascii="楷体_GB2312" w:hAnsi="楷体_GB2312" w:eastAsia="楷体_GB2312" w:cs="楷体_GB2312"/>
          <w:b/>
          <w:bCs/>
          <w:color w:val="auto"/>
          <w:sz w:val="33"/>
          <w:szCs w:val="33"/>
        </w:rPr>
        <w:t>（一）收支预算</w:t>
      </w:r>
    </w:p>
    <w:p>
      <w:pPr>
        <w:keepNext w:val="0"/>
        <w:keepLines w:val="0"/>
        <w:pageBreakBefore w:val="0"/>
        <w:widowControl w:val="0"/>
        <w:kinsoku/>
        <w:wordWrap/>
        <w:overflowPunct/>
        <w:topLinePunct w:val="0"/>
        <w:autoSpaceDE/>
        <w:autoSpaceDN/>
        <w:bidi w:val="0"/>
        <w:spacing w:line="592" w:lineRule="exact"/>
        <w:ind w:firstLine="420" w:firstLineChars="200"/>
        <w:textAlignment w:val="auto"/>
        <w:rPr>
          <w:rFonts w:hint="eastAsia" w:ascii="仿宋_GB2312" w:eastAsia="仿宋_GB2312"/>
          <w:color w:val="auto"/>
          <w:sz w:val="32"/>
          <w:szCs w:val="32"/>
        </w:rPr>
      </w:pPr>
      <w:r>
        <w:drawing>
          <wp:anchor distT="0" distB="0" distL="114300" distR="114300" simplePos="0" relativeHeight="251659264" behindDoc="0" locked="0" layoutInCell="1" allowOverlap="1">
            <wp:simplePos x="0" y="0"/>
            <wp:positionH relativeFrom="column">
              <wp:posOffset>318770</wp:posOffset>
            </wp:positionH>
            <wp:positionV relativeFrom="paragraph">
              <wp:posOffset>1085850</wp:posOffset>
            </wp:positionV>
            <wp:extent cx="4572000" cy="2743200"/>
            <wp:effectExtent l="4445" t="4445" r="14605" b="14605"/>
            <wp:wrapTopAndBottom/>
            <wp:docPr id="2" name="图表 1" descr="7b0a202020202263686172745265734964223a2022323034363939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color w:val="auto"/>
          <w:kern w:val="21"/>
          <w:sz w:val="32"/>
          <w:szCs w:val="32"/>
          <w:shd w:val="clear" w:color="auto" w:fill="FFFFFF"/>
          <w:lang w:bidi="ar"/>
        </w:rPr>
        <w:t>收入预算：</w:t>
      </w:r>
      <w:r>
        <w:rPr>
          <w:rFonts w:hint="eastAsia" w:ascii="仿宋_GB2312" w:eastAsia="仿宋_GB2312"/>
          <w:color w:val="auto"/>
          <w:sz w:val="32"/>
          <w:szCs w:val="32"/>
        </w:rPr>
        <w:t>筱溪街202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年收入预算</w:t>
      </w:r>
      <w:r>
        <w:rPr>
          <w:rFonts w:hint="eastAsia" w:ascii="仿宋_GB2312" w:eastAsia="仿宋_GB2312"/>
          <w:color w:val="auto"/>
          <w:sz w:val="32"/>
          <w:szCs w:val="32"/>
          <w:lang w:val="en-US" w:eastAsia="zh-CN"/>
        </w:rPr>
        <w:t>1226.80</w:t>
      </w:r>
      <w:r>
        <w:rPr>
          <w:rFonts w:hint="eastAsia" w:ascii="仿宋_GB2312" w:eastAsia="仿宋_GB2312"/>
          <w:color w:val="auto"/>
          <w:sz w:val="32"/>
          <w:szCs w:val="32"/>
        </w:rPr>
        <w:t>万元，其中：</w:t>
      </w:r>
      <w:r>
        <w:rPr>
          <w:rFonts w:hint="eastAsia" w:ascii="仿宋_GB2312" w:eastAsia="仿宋_GB2312"/>
          <w:color w:val="auto"/>
          <w:sz w:val="32"/>
          <w:szCs w:val="32"/>
          <w:lang w:val="en-US" w:eastAsia="zh-CN"/>
        </w:rPr>
        <w:t>无</w:t>
      </w:r>
      <w:r>
        <w:rPr>
          <w:rFonts w:hint="eastAsia" w:ascii="仿宋_GB2312" w:eastAsia="仿宋_GB2312"/>
          <w:color w:val="auto"/>
          <w:sz w:val="32"/>
          <w:szCs w:val="32"/>
        </w:rPr>
        <w:t>上年结转；一般公共预算拨款收入</w:t>
      </w:r>
      <w:r>
        <w:rPr>
          <w:rFonts w:hint="eastAsia" w:ascii="仿宋_GB2312" w:eastAsia="仿宋_GB2312"/>
          <w:color w:val="auto"/>
          <w:sz w:val="32"/>
          <w:szCs w:val="32"/>
          <w:lang w:val="en-US" w:eastAsia="zh-CN"/>
        </w:rPr>
        <w:t>1226.80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spacing w:line="592"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（二）支出预算情况</w:t>
      </w:r>
    </w:p>
    <w:p>
      <w:pPr>
        <w:keepNext w:val="0"/>
        <w:keepLines w:val="0"/>
        <w:pageBreakBefore w:val="0"/>
        <w:widowControl w:val="0"/>
        <w:kinsoku/>
        <w:wordWrap/>
        <w:overflowPunct/>
        <w:topLinePunct w:val="0"/>
        <w:autoSpaceDE/>
        <w:autoSpaceDN/>
        <w:bidi w:val="0"/>
        <w:spacing w:line="592" w:lineRule="exact"/>
        <w:ind w:firstLine="420" w:firstLineChars="200"/>
        <w:textAlignment w:val="auto"/>
        <w:rPr>
          <w:rFonts w:hint="eastAsia" w:ascii="仿宋_GB2312" w:hAnsi="仿宋_GB2312" w:eastAsia="仿宋_GB2312" w:cs="仿宋_GB2312"/>
          <w:color w:val="auto"/>
          <w:kern w:val="21"/>
          <w:sz w:val="32"/>
          <w:szCs w:val="32"/>
          <w:shd w:val="clear" w:color="auto" w:fill="FFFFFF"/>
          <w:lang w:bidi="ar"/>
        </w:rPr>
      </w:pPr>
      <w:r>
        <w:drawing>
          <wp:anchor distT="0" distB="0" distL="114300" distR="114300" simplePos="0" relativeHeight="251660288" behindDoc="0" locked="0" layoutInCell="1" allowOverlap="1">
            <wp:simplePos x="0" y="0"/>
            <wp:positionH relativeFrom="column">
              <wp:posOffset>290195</wp:posOffset>
            </wp:positionH>
            <wp:positionV relativeFrom="paragraph">
              <wp:posOffset>771525</wp:posOffset>
            </wp:positionV>
            <wp:extent cx="4572000" cy="2743200"/>
            <wp:effectExtent l="4445" t="4445" r="14605" b="14605"/>
            <wp:wrapTopAndBottom/>
            <wp:docPr id="3" name="图表 1" descr="7b0a202020202263686172745265734964223a2022323034363939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color w:val="auto"/>
          <w:kern w:val="21"/>
          <w:sz w:val="32"/>
          <w:szCs w:val="32"/>
          <w:shd w:val="clear" w:color="auto" w:fill="FFFFFF"/>
          <w:lang w:bidi="ar"/>
        </w:rPr>
        <w:t>支出预算：筱溪街202</w:t>
      </w:r>
      <w:r>
        <w:rPr>
          <w:rFonts w:hint="eastAsia" w:ascii="仿宋_GB2312" w:hAnsi="仿宋_GB2312" w:eastAsia="仿宋_GB2312" w:cs="仿宋_GB2312"/>
          <w:color w:val="auto"/>
          <w:kern w:val="21"/>
          <w:sz w:val="32"/>
          <w:szCs w:val="32"/>
          <w:shd w:val="clear" w:color="auto" w:fill="FFFFFF"/>
          <w:lang w:val="en-US" w:eastAsia="zh-CN" w:bidi="ar"/>
        </w:rPr>
        <w:t>2</w:t>
      </w:r>
      <w:r>
        <w:rPr>
          <w:rFonts w:hint="eastAsia" w:ascii="仿宋_GB2312" w:hAnsi="仿宋_GB2312" w:eastAsia="仿宋_GB2312" w:cs="仿宋_GB2312"/>
          <w:color w:val="auto"/>
          <w:kern w:val="21"/>
          <w:sz w:val="32"/>
          <w:szCs w:val="32"/>
          <w:shd w:val="clear" w:color="auto" w:fill="FFFFFF"/>
          <w:lang w:bidi="ar"/>
        </w:rPr>
        <w:t>年支出预算</w:t>
      </w:r>
      <w:r>
        <w:rPr>
          <w:rFonts w:hint="eastAsia" w:ascii="仿宋_GB2312" w:eastAsia="仿宋_GB2312"/>
          <w:color w:val="auto"/>
          <w:sz w:val="32"/>
          <w:szCs w:val="32"/>
          <w:lang w:val="en-US" w:eastAsia="zh-CN"/>
        </w:rPr>
        <w:t>1226.80</w:t>
      </w:r>
      <w:r>
        <w:rPr>
          <w:rFonts w:hint="eastAsia" w:ascii="仿宋_GB2312" w:hAnsi="仿宋_GB2312" w:eastAsia="仿宋_GB2312" w:cs="仿宋_GB2312"/>
          <w:color w:val="auto"/>
          <w:kern w:val="21"/>
          <w:sz w:val="32"/>
          <w:szCs w:val="32"/>
          <w:shd w:val="clear" w:color="auto" w:fill="FFFFFF"/>
          <w:lang w:bidi="ar"/>
        </w:rPr>
        <w:t>万元，其中：基本支出</w:t>
      </w:r>
      <w:r>
        <w:rPr>
          <w:rFonts w:hint="eastAsia" w:ascii="仿宋_GB2312" w:eastAsia="仿宋_GB2312"/>
          <w:color w:val="auto"/>
          <w:sz w:val="32"/>
          <w:szCs w:val="32"/>
          <w:lang w:val="en-US" w:eastAsia="zh-CN"/>
        </w:rPr>
        <w:t>1226.80</w:t>
      </w:r>
      <w:r>
        <w:rPr>
          <w:rFonts w:hint="eastAsia" w:ascii="仿宋_GB2312" w:hAnsi="仿宋_GB2312" w:eastAsia="仿宋_GB2312" w:cs="仿宋_GB2312"/>
          <w:color w:val="auto"/>
          <w:kern w:val="21"/>
          <w:sz w:val="32"/>
          <w:szCs w:val="32"/>
          <w:shd w:val="clear" w:color="auto" w:fill="FFFFFF"/>
          <w:lang w:bidi="ar"/>
        </w:rPr>
        <w:t>万元，占</w:t>
      </w:r>
      <w:r>
        <w:rPr>
          <w:rFonts w:hint="eastAsia" w:ascii="仿宋_GB2312" w:hAnsi="仿宋_GB2312" w:eastAsia="仿宋_GB2312" w:cs="仿宋_GB2312"/>
          <w:color w:val="auto"/>
          <w:kern w:val="21"/>
          <w:sz w:val="32"/>
          <w:szCs w:val="32"/>
          <w:shd w:val="clear" w:color="auto" w:fill="FFFFFF"/>
          <w:lang w:val="en-US" w:eastAsia="zh-CN" w:bidi="ar"/>
        </w:rPr>
        <w:t>100</w:t>
      </w:r>
      <w:r>
        <w:rPr>
          <w:rFonts w:hint="eastAsia" w:ascii="仿宋_GB2312" w:hAnsi="仿宋_GB2312" w:eastAsia="仿宋_GB2312" w:cs="仿宋_GB2312"/>
          <w:color w:val="auto"/>
          <w:kern w:val="21"/>
          <w:sz w:val="32"/>
          <w:szCs w:val="32"/>
          <w:shd w:val="clear" w:color="auto" w:fill="FFFFFF"/>
          <w:lang w:bidi="ar"/>
        </w:rPr>
        <w:t>%；</w:t>
      </w:r>
      <w:r>
        <w:rPr>
          <w:rFonts w:hint="eastAsia" w:ascii="仿宋_GB2312" w:hAnsi="仿宋_GB2312" w:eastAsia="仿宋_GB2312" w:cs="仿宋_GB2312"/>
          <w:color w:val="auto"/>
          <w:kern w:val="21"/>
          <w:sz w:val="32"/>
          <w:szCs w:val="32"/>
          <w:shd w:val="clear" w:color="auto" w:fill="FFFFFF"/>
          <w:lang w:val="en-US" w:eastAsia="zh-CN" w:bidi="ar"/>
        </w:rPr>
        <w:t>无上年结转</w:t>
      </w:r>
      <w:r>
        <w:rPr>
          <w:rFonts w:hint="eastAsia" w:ascii="仿宋_GB2312" w:hAnsi="仿宋_GB2312" w:eastAsia="仿宋_GB2312" w:cs="仿宋_GB2312"/>
          <w:color w:val="auto"/>
          <w:kern w:val="21"/>
          <w:sz w:val="32"/>
          <w:szCs w:val="32"/>
          <w:shd w:val="clear" w:color="auto" w:fill="FFFFFF"/>
          <w:lang w:bidi="ar"/>
        </w:rPr>
        <w:t>。</w:t>
      </w:r>
    </w:p>
    <w:p>
      <w:pPr>
        <w:spacing w:line="580" w:lineRule="exact"/>
        <w:ind w:firstLine="560" w:firstLineChars="200"/>
        <w:rPr>
          <w:rFonts w:hint="eastAsia" w:ascii="黑体" w:eastAsia="黑体"/>
          <w:color w:val="auto"/>
          <w:sz w:val="32"/>
          <w:szCs w:val="32"/>
          <w:lang w:eastAsia="zh-CN"/>
        </w:rPr>
      </w:pPr>
      <w:r>
        <w:rPr>
          <w:rFonts w:hint="eastAsia" w:ascii="仿宋_GB2312" w:eastAsia="仿宋_GB2312"/>
          <w:color w:val="auto"/>
          <w:sz w:val="28"/>
          <w:szCs w:val="28"/>
        </w:rPr>
        <w:t xml:space="preserve"> </w:t>
      </w:r>
      <w:r>
        <w:rPr>
          <w:rFonts w:hint="eastAsia" w:ascii="黑体" w:eastAsia="黑体"/>
          <w:color w:val="auto"/>
          <w:sz w:val="32"/>
          <w:szCs w:val="32"/>
        </w:rPr>
        <w:t>四、财政拨款收支预算情况说明</w:t>
      </w:r>
    </w:p>
    <w:p>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　　筱溪街202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年财政拨款收支总预算</w:t>
      </w:r>
      <w:r>
        <w:rPr>
          <w:rFonts w:hint="eastAsia" w:ascii="仿宋_GB2312" w:eastAsia="仿宋_GB2312"/>
          <w:color w:val="auto"/>
          <w:sz w:val="32"/>
          <w:szCs w:val="32"/>
          <w:lang w:val="en-US" w:eastAsia="zh-CN"/>
        </w:rPr>
        <w:t>1226.80</w:t>
      </w:r>
      <w:r>
        <w:rPr>
          <w:rFonts w:hint="eastAsia" w:ascii="仿宋_GB2312" w:hAnsi="仿宋_GB2312" w:eastAsia="仿宋_GB2312" w:cs="仿宋_GB2312"/>
          <w:color w:val="auto"/>
          <w:kern w:val="21"/>
          <w:sz w:val="32"/>
          <w:szCs w:val="32"/>
          <w:shd w:val="clear" w:color="auto" w:fill="FFFFFF"/>
          <w:lang w:bidi="ar"/>
        </w:rPr>
        <w:t>万元</w:t>
      </w:r>
      <w:r>
        <w:rPr>
          <w:rFonts w:hint="eastAsia" w:ascii="仿宋_GB2312" w:eastAsia="仿宋_GB2312"/>
          <w:color w:val="auto"/>
          <w:sz w:val="32"/>
          <w:szCs w:val="32"/>
        </w:rPr>
        <w:t>，比20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年收支预算总数增加</w:t>
      </w:r>
      <w:r>
        <w:rPr>
          <w:rFonts w:hint="eastAsia" w:ascii="仿宋_GB2312" w:eastAsia="仿宋_GB2312"/>
          <w:color w:val="auto"/>
          <w:sz w:val="32"/>
          <w:szCs w:val="32"/>
          <w:lang w:val="en-US" w:eastAsia="zh-CN"/>
        </w:rPr>
        <w:t>302.07</w:t>
      </w:r>
      <w:r>
        <w:rPr>
          <w:rFonts w:hint="eastAsia" w:ascii="仿宋_GB2312" w:eastAsia="仿宋_GB2312"/>
          <w:color w:val="auto"/>
          <w:sz w:val="32"/>
          <w:szCs w:val="32"/>
        </w:rPr>
        <w:t>万元，主要原因是本年支出费用增加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包括本单位2022年新进公务员2名、参公人员2名和事业单位人员4名带来的办公经费、人员经费增加，社区办公经费的统一调标提高和</w:t>
      </w:r>
      <w:r>
        <w:rPr>
          <w:rFonts w:hint="eastAsia" w:ascii="仿宋_GB2312" w:eastAsia="仿宋_GB2312"/>
          <w:color w:val="auto"/>
          <w:sz w:val="32"/>
          <w:szCs w:val="32"/>
        </w:rPr>
        <w:t>洞桥失地农民生活补助</w:t>
      </w:r>
      <w:r>
        <w:rPr>
          <w:rFonts w:hint="eastAsia" w:ascii="仿宋_GB2312" w:eastAsia="仿宋_GB2312"/>
          <w:color w:val="auto"/>
          <w:sz w:val="32"/>
          <w:szCs w:val="32"/>
          <w:lang w:eastAsia="zh-CN"/>
        </w:rPr>
        <w:t>。</w:t>
      </w:r>
    </w:p>
    <w:p>
      <w:pPr>
        <w:spacing w:line="580" w:lineRule="exact"/>
        <w:ind w:firstLine="420" w:firstLineChars="200"/>
        <w:rPr>
          <w:rFonts w:hint="eastAsia" w:ascii="仿宋_GB2312" w:eastAsia="仿宋_GB2312"/>
          <w:color w:val="auto"/>
          <w:sz w:val="32"/>
          <w:szCs w:val="32"/>
          <w:lang w:eastAsia="zh-CN"/>
        </w:rPr>
      </w:pPr>
      <w:r>
        <w:drawing>
          <wp:anchor distT="0" distB="0" distL="114300" distR="114300" simplePos="0" relativeHeight="251661312" behindDoc="0" locked="0" layoutInCell="1" allowOverlap="1">
            <wp:simplePos x="0" y="0"/>
            <wp:positionH relativeFrom="column">
              <wp:posOffset>318770</wp:posOffset>
            </wp:positionH>
            <wp:positionV relativeFrom="paragraph">
              <wp:posOffset>80010</wp:posOffset>
            </wp:positionV>
            <wp:extent cx="4572000" cy="2743200"/>
            <wp:effectExtent l="4445" t="4445" r="14605" b="14605"/>
            <wp:wrapTopAndBottom/>
            <wp:docPr id="4" name="图表 1" descr="7b0a202020202263686172745265734964223a2022323034373232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color w:val="auto"/>
          <w:sz w:val="32"/>
          <w:szCs w:val="32"/>
        </w:rPr>
        <w:t>收入包括：本年一般公共预算拨款收入</w:t>
      </w:r>
      <w:r>
        <w:rPr>
          <w:rFonts w:hint="eastAsia" w:ascii="仿宋_GB2312" w:eastAsia="仿宋_GB2312"/>
          <w:color w:val="auto"/>
          <w:sz w:val="32"/>
          <w:szCs w:val="32"/>
          <w:lang w:val="en-US" w:eastAsia="zh-CN"/>
        </w:rPr>
        <w:t>1226.80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kern w:val="21"/>
          <w:sz w:val="32"/>
          <w:szCs w:val="32"/>
          <w:shd w:val="clear" w:color="auto" w:fill="FFFFFF"/>
          <w:lang w:val="en-US" w:eastAsia="zh-CN" w:bidi="ar"/>
        </w:rPr>
      </w:pPr>
      <w:r>
        <w:rPr>
          <w:rFonts w:hint="eastAsia" w:ascii="仿宋_GB2312" w:eastAsia="仿宋_GB2312"/>
          <w:color w:val="auto"/>
          <w:sz w:val="32"/>
          <w:szCs w:val="32"/>
        </w:rPr>
        <w:t>支出包括：</w:t>
      </w:r>
      <w:r>
        <w:rPr>
          <w:rFonts w:hint="eastAsia" w:ascii="仿宋_GB2312" w:hAnsi="仿宋_GB2312" w:eastAsia="仿宋_GB2312" w:cs="仿宋_GB2312"/>
          <w:color w:val="auto"/>
          <w:kern w:val="21"/>
          <w:sz w:val="32"/>
          <w:szCs w:val="32"/>
          <w:shd w:val="clear" w:color="auto" w:fill="FFFFFF"/>
          <w:lang w:val="en-US" w:eastAsia="zh-CN" w:bidi="ar"/>
        </w:rPr>
        <w:t>一般公共服务支出484.23万元，占39.47%；社会保障和就业支出43.87万元，占3.58%；卫生健康支出20.87万元，占1.7%；农林水支出642.50万元，占52.37%；住房保障支出35.34万元，占2.88%。</w:t>
      </w:r>
    </w:p>
    <w:p>
      <w:pPr>
        <w:spacing w:line="580" w:lineRule="exact"/>
        <w:ind w:firstLine="640" w:firstLineChars="200"/>
        <w:rPr>
          <w:rFonts w:hint="eastAsia" w:ascii="仿宋_GB2312" w:eastAsia="仿宋_GB2312"/>
          <w:color w:val="auto"/>
          <w:sz w:val="32"/>
          <w:szCs w:val="32"/>
        </w:rPr>
      </w:pPr>
      <w:r>
        <w:rPr>
          <w:rFonts w:hint="eastAsia" w:ascii="黑体" w:eastAsia="黑体"/>
          <w:color w:val="auto"/>
          <w:sz w:val="32"/>
          <w:szCs w:val="32"/>
        </w:rPr>
        <w:t>　五、一般公共预算当年拨款情况说明</w:t>
      </w:r>
      <w:r>
        <w:rPr>
          <w:rFonts w:hint="eastAsia" w:ascii="仿宋_GB2312" w:eastAsia="仿宋_GB2312"/>
          <w:color w:val="auto"/>
          <w:sz w:val="32"/>
          <w:szCs w:val="32"/>
        </w:rPr>
        <w:t>　　</w:t>
      </w:r>
    </w:p>
    <w:p>
      <w:pPr>
        <w:spacing w:line="580" w:lineRule="exact"/>
        <w:ind w:firstLine="643" w:firstLineChars="200"/>
        <w:rPr>
          <w:rFonts w:hint="eastAsia" w:ascii="仿宋_GB2312" w:eastAsia="仿宋_GB2312"/>
          <w:color w:val="auto"/>
          <w:sz w:val="32"/>
          <w:szCs w:val="32"/>
        </w:rPr>
      </w:pPr>
      <w:r>
        <w:rPr>
          <w:rStyle w:val="9"/>
          <w:rFonts w:hint="eastAsia" w:ascii="仿宋_GB2312" w:eastAsia="仿宋_GB2312"/>
          <w:color w:val="auto"/>
          <w:sz w:val="32"/>
          <w:szCs w:val="32"/>
        </w:rPr>
        <w:t>（一）一般公共预算当年拨款规模变化情况</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筱溪街2</w:t>
      </w:r>
      <w:r>
        <w:rPr>
          <w:rFonts w:hint="eastAsia" w:ascii="仿宋_GB2312" w:eastAsia="仿宋_GB2312"/>
          <w:color w:val="auto"/>
          <w:sz w:val="32"/>
          <w:szCs w:val="32"/>
          <w:lang w:val="en-US" w:eastAsia="zh-CN"/>
        </w:rPr>
        <w:t>022</w:t>
      </w:r>
      <w:r>
        <w:rPr>
          <w:rFonts w:hint="eastAsia" w:ascii="仿宋_GB2312" w:eastAsia="仿宋_GB2312"/>
          <w:color w:val="auto"/>
          <w:sz w:val="32"/>
          <w:szCs w:val="32"/>
        </w:rPr>
        <w:t>年收支总预算</w:t>
      </w:r>
      <w:r>
        <w:rPr>
          <w:rFonts w:hint="eastAsia" w:ascii="仿宋_GB2312" w:eastAsia="仿宋_GB2312"/>
          <w:color w:val="auto"/>
          <w:sz w:val="32"/>
          <w:szCs w:val="32"/>
          <w:lang w:val="en-US" w:eastAsia="zh-CN"/>
        </w:rPr>
        <w:t>1226.80</w:t>
      </w:r>
      <w:r>
        <w:rPr>
          <w:rFonts w:hint="eastAsia" w:ascii="仿宋_GB2312" w:eastAsia="仿宋_GB2312"/>
          <w:color w:val="auto"/>
          <w:sz w:val="32"/>
          <w:szCs w:val="32"/>
        </w:rPr>
        <w:t>万元，比20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年收支预算总数增加</w:t>
      </w:r>
      <w:r>
        <w:rPr>
          <w:rFonts w:hint="eastAsia" w:ascii="仿宋_GB2312" w:eastAsia="仿宋_GB2312"/>
          <w:color w:val="auto"/>
          <w:sz w:val="32"/>
          <w:szCs w:val="32"/>
          <w:lang w:val="en-US" w:eastAsia="zh-CN"/>
        </w:rPr>
        <w:t>302.07</w:t>
      </w:r>
      <w:r>
        <w:rPr>
          <w:rFonts w:hint="eastAsia" w:ascii="仿宋_GB2312" w:eastAsia="仿宋_GB2312"/>
          <w:color w:val="auto"/>
          <w:sz w:val="32"/>
          <w:szCs w:val="32"/>
        </w:rPr>
        <w:t>万元，主要原因是本年支出费用增加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包括本单位2022年新进公务员2名、参公人员2名和事业单位人员4名带来的办公经费、人员经费增加，社区办公经费的统一调标提高和</w:t>
      </w:r>
      <w:r>
        <w:rPr>
          <w:rFonts w:hint="eastAsia" w:ascii="仿宋_GB2312" w:eastAsia="仿宋_GB2312"/>
          <w:color w:val="auto"/>
          <w:sz w:val="32"/>
          <w:szCs w:val="32"/>
        </w:rPr>
        <w:t>洞桥失地农民生活补助</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420" w:firstLineChars="200"/>
        <w:textAlignment w:val="auto"/>
        <w:rPr>
          <w:rStyle w:val="9"/>
          <w:rFonts w:hint="eastAsia" w:ascii="仿宋_GB2312" w:eastAsia="仿宋_GB2312"/>
          <w:color w:val="000000"/>
          <w:sz w:val="32"/>
          <w:szCs w:val="32"/>
          <w:lang w:eastAsia="zh-CN"/>
        </w:rPr>
      </w:pPr>
      <w:r>
        <w:drawing>
          <wp:anchor distT="0" distB="0" distL="114300" distR="114300" simplePos="0" relativeHeight="251662336" behindDoc="0" locked="0" layoutInCell="1" allowOverlap="1">
            <wp:simplePos x="0" y="0"/>
            <wp:positionH relativeFrom="column">
              <wp:posOffset>575945</wp:posOffset>
            </wp:positionH>
            <wp:positionV relativeFrom="paragraph">
              <wp:posOffset>5211445</wp:posOffset>
            </wp:positionV>
            <wp:extent cx="4572000" cy="2743200"/>
            <wp:effectExtent l="4445" t="4445" r="14605" b="52705"/>
            <wp:wrapTopAndBottom/>
            <wp:docPr id="5" name="图表 4" descr="7b0a202020202263686172745265734964223a2022323033353731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drawing>
          <wp:anchor distT="0" distB="0" distL="114300" distR="114300" simplePos="0" relativeHeight="251663360" behindDoc="0" locked="0" layoutInCell="1" allowOverlap="1">
            <wp:simplePos x="0" y="0"/>
            <wp:positionH relativeFrom="column">
              <wp:posOffset>518795</wp:posOffset>
            </wp:positionH>
            <wp:positionV relativeFrom="paragraph">
              <wp:posOffset>77470</wp:posOffset>
            </wp:positionV>
            <wp:extent cx="4572000" cy="2743200"/>
            <wp:effectExtent l="4445" t="4445" r="14605" b="14605"/>
            <wp:wrapTopAndBottom/>
            <wp:docPr id="6" name="图表 1" descr="7b0a202020202263686172745265734964223a2022323034373232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Style w:val="9"/>
          <w:rFonts w:hint="eastAsia" w:ascii="仿宋_GB2312" w:eastAsia="仿宋_GB2312"/>
          <w:color w:val="00000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kern w:val="21"/>
          <w:sz w:val="32"/>
          <w:szCs w:val="32"/>
          <w:shd w:val="clear" w:color="auto" w:fill="FFFFFF"/>
          <w:lang w:val="en-US" w:eastAsia="zh-CN" w:bidi="ar"/>
        </w:rPr>
      </w:pPr>
      <w:r>
        <w:rPr>
          <w:rFonts w:hint="eastAsia" w:ascii="仿宋_GB2312" w:eastAsia="仿宋_GB2312"/>
          <w:color w:val="000000"/>
          <w:sz w:val="32"/>
          <w:szCs w:val="32"/>
        </w:rPr>
        <w:t>　　一般公共服务（类）支出</w:t>
      </w:r>
      <w:r>
        <w:rPr>
          <w:rFonts w:hint="eastAsia" w:ascii="仿宋_GB2312" w:hAnsi="仿宋_GB2312" w:eastAsia="仿宋_GB2312" w:cs="仿宋_GB2312"/>
          <w:color w:val="000000"/>
          <w:kern w:val="21"/>
          <w:sz w:val="32"/>
          <w:szCs w:val="32"/>
          <w:shd w:val="clear" w:color="auto" w:fill="FFFFFF"/>
          <w:lang w:val="en-US" w:eastAsia="zh-CN" w:bidi="ar"/>
        </w:rPr>
        <w:t>484.23万元，占39.47%；</w:t>
      </w:r>
      <w:r>
        <w:rPr>
          <w:rFonts w:hint="eastAsia" w:ascii="仿宋_GB2312" w:eastAsia="仿宋_GB2312"/>
          <w:color w:val="000000"/>
          <w:sz w:val="32"/>
          <w:szCs w:val="32"/>
        </w:rPr>
        <w:t>文化体育与传媒支出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万元，占0.0</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%；社会保障和就业（类）支出</w:t>
      </w:r>
      <w:r>
        <w:rPr>
          <w:rFonts w:hint="eastAsia" w:ascii="仿宋_GB2312" w:hAnsi="仿宋_GB2312" w:eastAsia="仿宋_GB2312" w:cs="仿宋_GB2312"/>
          <w:color w:val="000000"/>
          <w:kern w:val="21"/>
          <w:sz w:val="32"/>
          <w:szCs w:val="32"/>
          <w:shd w:val="clear" w:color="auto" w:fill="FFFFFF"/>
          <w:lang w:val="en-US" w:eastAsia="zh-CN" w:bidi="ar"/>
        </w:rPr>
        <w:t>43.87万元，占3.58%；</w:t>
      </w:r>
      <w:r>
        <w:rPr>
          <w:rFonts w:hint="eastAsia" w:ascii="仿宋_GB2312" w:eastAsia="仿宋_GB2312"/>
          <w:color w:val="000000"/>
          <w:sz w:val="32"/>
          <w:szCs w:val="32"/>
        </w:rPr>
        <w:t>卫生健康（类）支出</w:t>
      </w:r>
      <w:r>
        <w:rPr>
          <w:rFonts w:hint="eastAsia" w:ascii="仿宋_GB2312" w:hAnsi="仿宋_GB2312" w:eastAsia="仿宋_GB2312" w:cs="仿宋_GB2312"/>
          <w:color w:val="000000"/>
          <w:kern w:val="21"/>
          <w:sz w:val="32"/>
          <w:szCs w:val="32"/>
          <w:shd w:val="clear" w:color="auto" w:fill="FFFFFF"/>
          <w:lang w:val="en-US" w:eastAsia="zh-CN" w:bidi="ar"/>
        </w:rPr>
        <w:t>20.87万元，占1.7%；</w:t>
      </w:r>
      <w:r>
        <w:rPr>
          <w:rFonts w:hint="eastAsia" w:ascii="仿宋_GB2312" w:eastAsia="仿宋_GB2312"/>
          <w:color w:val="000000"/>
          <w:sz w:val="32"/>
          <w:szCs w:val="32"/>
        </w:rPr>
        <w:t>农林水（类）支出</w:t>
      </w:r>
      <w:r>
        <w:rPr>
          <w:rFonts w:hint="eastAsia" w:ascii="仿宋_GB2312" w:hAnsi="仿宋_GB2312" w:eastAsia="仿宋_GB2312" w:cs="仿宋_GB2312"/>
          <w:color w:val="000000"/>
          <w:kern w:val="21"/>
          <w:sz w:val="32"/>
          <w:szCs w:val="32"/>
          <w:shd w:val="clear" w:color="auto" w:fill="FFFFFF"/>
          <w:lang w:val="en-US" w:eastAsia="zh-CN" w:bidi="ar"/>
        </w:rPr>
        <w:t>642.50万元，占52.37%；</w:t>
      </w:r>
      <w:r>
        <w:rPr>
          <w:rFonts w:hint="eastAsia" w:ascii="仿宋_GB2312" w:eastAsia="仿宋_GB2312"/>
          <w:color w:val="000000"/>
          <w:sz w:val="32"/>
          <w:szCs w:val="32"/>
        </w:rPr>
        <w:t>住房保障（类）支出</w:t>
      </w:r>
      <w:r>
        <w:rPr>
          <w:rFonts w:hint="eastAsia" w:ascii="仿宋_GB2312" w:hAnsi="仿宋_GB2312" w:eastAsia="仿宋_GB2312" w:cs="仿宋_GB2312"/>
          <w:color w:val="000000"/>
          <w:kern w:val="21"/>
          <w:sz w:val="32"/>
          <w:szCs w:val="32"/>
          <w:shd w:val="clear" w:color="auto" w:fill="FFFFFF"/>
          <w:lang w:val="en-US" w:eastAsia="zh-CN" w:bidi="ar"/>
        </w:rPr>
        <w:t>35.34万元，占2.88%。</w:t>
      </w:r>
    </w:p>
    <w:p>
      <w:pPr>
        <w:spacing w:line="580" w:lineRule="exact"/>
        <w:ind w:firstLine="643" w:firstLineChars="200"/>
        <w:rPr>
          <w:rFonts w:hint="eastAsia" w:ascii="仿宋_GB2312" w:eastAsia="仿宋_GB2312"/>
          <w:color w:val="000000"/>
          <w:sz w:val="32"/>
          <w:szCs w:val="32"/>
        </w:rPr>
      </w:pPr>
      <w:r>
        <w:rPr>
          <w:rStyle w:val="9"/>
          <w:rFonts w:hint="eastAsia" w:ascii="仿宋_GB2312" w:eastAsia="仿宋_GB2312"/>
          <w:color w:val="000000"/>
          <w:sz w:val="32"/>
          <w:szCs w:val="32"/>
        </w:rPr>
        <w:t>（三）一般公共预算当年拨款具体使用情况</w:t>
      </w:r>
      <w:r>
        <w:rPr>
          <w:rFonts w:hint="eastAsia" w:ascii="仿宋_GB2312" w:eastAsia="仿宋_GB2312"/>
          <w:b/>
          <w:bCs/>
          <w:color w:val="000000"/>
          <w:sz w:val="32"/>
          <w:szCs w:val="32"/>
        </w:rPr>
        <w:t>：</w:t>
      </w:r>
      <w:r>
        <w:rPr>
          <w:rFonts w:hint="eastAsia" w:ascii="仿宋_GB2312" w:eastAsia="仿宋_GB2312"/>
          <w:color w:val="000000"/>
          <w:sz w:val="32"/>
          <w:szCs w:val="32"/>
        </w:rPr>
        <w:t>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1.一般公共服务（201）政府办公厅及相关机构事务（03）行政运行（01）:202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295.27</w:t>
      </w:r>
      <w:r>
        <w:rPr>
          <w:rFonts w:hint="eastAsia" w:ascii="仿宋_GB2312" w:eastAsia="仿宋_GB2312"/>
          <w:color w:val="000000"/>
          <w:sz w:val="32"/>
          <w:szCs w:val="32"/>
        </w:rPr>
        <w:t>万元，主要用于保障办事处机构正常运行、开展日常工作的基本支出；一般公共服务（201）政府办公厅及相关机构事务（03）事业运行（50）：202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65.79</w:t>
      </w:r>
      <w:r>
        <w:rPr>
          <w:rFonts w:hint="eastAsia" w:ascii="仿宋_GB2312" w:eastAsia="仿宋_GB2312"/>
          <w:color w:val="000000"/>
          <w:sz w:val="32"/>
          <w:szCs w:val="32"/>
        </w:rPr>
        <w:t>万元，主要用于事业单位的基本支出；一般公共服务（201）政府办公厅及相关机构事务（03）其他政府办公厅及相关机构事务（99）:202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123.16</w:t>
      </w:r>
      <w:r>
        <w:rPr>
          <w:rFonts w:hint="eastAsia" w:ascii="仿宋_GB2312" w:eastAsia="仿宋_GB2312"/>
          <w:color w:val="000000"/>
          <w:sz w:val="32"/>
          <w:szCs w:val="32"/>
        </w:rPr>
        <w:t>万元，主要用于洞桥4、5组失地农民生活补助支出。</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2.社会保障和就业（208）行政事业单位离退休（05）机关事业单位基本养老保险缴费支出（05）:</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32.71</w:t>
      </w:r>
      <w:r>
        <w:rPr>
          <w:rFonts w:hint="eastAsia" w:ascii="仿宋_GB2312" w:eastAsia="仿宋_GB2312"/>
          <w:color w:val="000000"/>
          <w:sz w:val="32"/>
          <w:szCs w:val="32"/>
        </w:rPr>
        <w:t>万元，主要用于职工养老保险缴费由单位缴纳部分的支出；社会保障和就业（208）行政事业单位离退休（05）其他行政事业单位基本养老支出（99）:</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年预算数为1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万元，主要用于办事处退休人员的其他支出。</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3.卫生健康支出（210）行政事业单位医疗（11）行政单位医疗（01）:</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20.87</w:t>
      </w:r>
      <w:r>
        <w:rPr>
          <w:rFonts w:hint="eastAsia" w:ascii="仿宋_GB2312" w:eastAsia="仿宋_GB2312"/>
          <w:color w:val="000000"/>
          <w:sz w:val="32"/>
          <w:szCs w:val="32"/>
        </w:rPr>
        <w:t>万元，主要用于：缴纳单位职工基本医疗保险支出。</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4.农林水支出（213）农村综合改革（07）对村民委员会和村党支部的补助（05）:</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642.50</w:t>
      </w:r>
      <w:r>
        <w:rPr>
          <w:rFonts w:hint="eastAsia" w:ascii="仿宋_GB2312" w:eastAsia="仿宋_GB2312"/>
          <w:color w:val="000000"/>
          <w:sz w:val="32"/>
          <w:szCs w:val="32"/>
        </w:rPr>
        <w:t>万元，主要用于：社区专职干部、纪检委员和网格员的补助及社区办公经费等支出。</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5.住房保障（221）住房改革支出（02）住房公积金（01）:</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35.34</w:t>
      </w:r>
      <w:r>
        <w:rPr>
          <w:rFonts w:hint="eastAsia" w:ascii="仿宋_GB2312" w:eastAsia="仿宋_GB2312"/>
          <w:color w:val="000000"/>
          <w:sz w:val="32"/>
          <w:szCs w:val="32"/>
        </w:rPr>
        <w:t>万元，主要用于：缴纳职工住房公积金单位缴纳部分。</w:t>
      </w:r>
    </w:p>
    <w:p>
      <w:pPr>
        <w:spacing w:line="580" w:lineRule="exact"/>
        <w:ind w:firstLine="570"/>
        <w:rPr>
          <w:rFonts w:hint="eastAsia" w:ascii="黑体" w:eastAsia="黑体"/>
          <w:color w:val="000000"/>
          <w:sz w:val="32"/>
          <w:szCs w:val="32"/>
        </w:rPr>
      </w:pPr>
      <w:r>
        <w:rPr>
          <w:rFonts w:hint="eastAsia" w:ascii="黑体" w:eastAsia="黑体"/>
          <w:color w:val="000000"/>
          <w:sz w:val="32"/>
          <w:szCs w:val="32"/>
        </w:rPr>
        <w:t>六、一般公共预算基本支出情况说明</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筱溪街202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年一般公共预算基本支出</w:t>
      </w:r>
      <w:r>
        <w:rPr>
          <w:rFonts w:hint="eastAsia" w:ascii="仿宋_GB2312" w:hAnsi="仿宋_GB2312" w:eastAsia="仿宋_GB2312" w:cs="仿宋_GB2312"/>
          <w:color w:val="000000"/>
          <w:kern w:val="21"/>
          <w:sz w:val="32"/>
          <w:szCs w:val="32"/>
          <w:shd w:val="clear" w:color="auto" w:fill="FFFFFF"/>
          <w:lang w:val="en-US" w:eastAsia="zh-CN" w:bidi="ar"/>
        </w:rPr>
        <w:t>1226.80</w:t>
      </w:r>
      <w:r>
        <w:rPr>
          <w:rFonts w:hint="eastAsia" w:ascii="仿宋_GB2312" w:hAnsi="仿宋_GB2312" w:eastAsia="仿宋_GB2312" w:cs="仿宋_GB2312"/>
          <w:color w:val="000000"/>
          <w:kern w:val="21"/>
          <w:sz w:val="32"/>
          <w:szCs w:val="32"/>
          <w:shd w:val="clear" w:color="auto" w:fill="FFFFFF"/>
          <w:lang w:bidi="ar"/>
        </w:rPr>
        <w:t>万</w:t>
      </w:r>
      <w:r>
        <w:rPr>
          <w:rFonts w:hint="eastAsia" w:ascii="仿宋_GB2312" w:eastAsia="仿宋_GB2312"/>
          <w:color w:val="000000"/>
          <w:sz w:val="32"/>
          <w:szCs w:val="32"/>
        </w:rPr>
        <w:t>元，其中：</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997.53</w:t>
      </w:r>
      <w:r>
        <w:rPr>
          <w:rFonts w:hint="eastAsia" w:ascii="仿宋_GB2312" w:eastAsia="仿宋_GB2312"/>
          <w:color w:val="000000"/>
          <w:sz w:val="32"/>
          <w:szCs w:val="32"/>
        </w:rPr>
        <w:t>万元，主要包括：基本工资、津贴补贴、奖金、社会保险缴费、绩效工资、机关事业单位基本养老保险缴费、职业年金缴费、其他工资福利支出、离休费、住房公积金、其他对个人和家庭的补助支出</w:t>
      </w:r>
      <w:r>
        <w:rPr>
          <w:rFonts w:hint="eastAsia" w:ascii="仿宋_GB2312" w:eastAsia="仿宋_GB2312"/>
          <w:color w:val="000000"/>
          <w:sz w:val="32"/>
          <w:szCs w:val="32"/>
          <w:lang w:eastAsia="zh-CN"/>
        </w:rPr>
        <w:t>等支出</w:t>
      </w:r>
      <w:r>
        <w:rPr>
          <w:rFonts w:hint="eastAsia" w:ascii="仿宋_GB2312" w:eastAsia="仿宋_GB2312"/>
          <w:color w:val="000000"/>
          <w:sz w:val="32"/>
          <w:szCs w:val="32"/>
        </w:rPr>
        <w:t>。</w:t>
      </w:r>
    </w:p>
    <w:p>
      <w:pPr>
        <w:spacing w:line="5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229.27</w:t>
      </w:r>
      <w:r>
        <w:rPr>
          <w:rFonts w:hint="eastAsia" w:ascii="仿宋_GB2312" w:eastAsia="仿宋_GB2312"/>
          <w:color w:val="000000"/>
          <w:sz w:val="32"/>
          <w:szCs w:val="32"/>
        </w:rPr>
        <w:t>万元，主要包括：办公费、印刷费、手续费、水费、电费、邮电费、差旅费、维修（护）费、会议费、培训费、劳务费、工会经费、福利费、其他交通费、其他商品和服务支出</w:t>
      </w:r>
      <w:r>
        <w:rPr>
          <w:rFonts w:hint="eastAsia" w:ascii="仿宋_GB2312" w:eastAsia="仿宋_GB2312"/>
          <w:color w:val="000000"/>
          <w:sz w:val="32"/>
          <w:szCs w:val="32"/>
          <w:lang w:eastAsia="zh-CN"/>
        </w:rPr>
        <w:t>等支出</w:t>
      </w:r>
      <w:r>
        <w:rPr>
          <w:rFonts w:hint="eastAsia" w:ascii="仿宋_GB2312" w:eastAsia="仿宋_GB2312"/>
          <w:color w:val="000000"/>
          <w:sz w:val="32"/>
          <w:szCs w:val="32"/>
        </w:rPr>
        <w:t>。</w:t>
      </w:r>
    </w:p>
    <w:p>
      <w:pPr>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七、“三公”经费财政拨款预算安排情况</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筱溪街</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未安排</w:t>
      </w:r>
      <w:r>
        <w:rPr>
          <w:rFonts w:hint="eastAsia" w:ascii="仿宋_GB2312" w:eastAsia="仿宋_GB2312"/>
          <w:color w:val="000000"/>
          <w:sz w:val="32"/>
          <w:szCs w:val="32"/>
        </w:rPr>
        <w:t>“三公”经费财政拨款预算数，未安排因公出国（境）经费和公务用车购置及运行维护费。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八、政府性基金预算支出情况说明</w:t>
      </w:r>
    </w:p>
    <w:p>
      <w:pPr>
        <w:numPr>
          <w:ilvl w:val="0"/>
          <w:numId w:val="0"/>
        </w:numPr>
        <w:spacing w:line="240" w:lineRule="auto"/>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筱溪街2022年没有使用政府性基金预算拨款安排支出。</w:t>
      </w:r>
    </w:p>
    <w:p>
      <w:pPr>
        <w:numPr>
          <w:ilvl w:val="0"/>
          <w:numId w:val="2"/>
        </w:numPr>
        <w:spacing w:line="620" w:lineRule="exact"/>
        <w:ind w:firstLine="640"/>
        <w:rPr>
          <w:rFonts w:hint="eastAsia" w:ascii="黑体" w:eastAsia="黑体"/>
          <w:color w:val="000000"/>
          <w:sz w:val="32"/>
          <w:szCs w:val="32"/>
          <w:lang w:eastAsia="zh-CN"/>
        </w:rPr>
      </w:pPr>
      <w:r>
        <w:rPr>
          <w:rFonts w:hint="eastAsia" w:ascii="黑体" w:eastAsia="黑体"/>
          <w:color w:val="000000"/>
          <w:sz w:val="32"/>
          <w:szCs w:val="32"/>
          <w:lang w:eastAsia="zh-CN"/>
        </w:rPr>
        <w:t>国有资本经营预算支出情况说明</w:t>
      </w:r>
    </w:p>
    <w:p>
      <w:pPr>
        <w:spacing w:line="62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筱溪街2022年没有使用国有资本经营预算拨款安排支出。</w:t>
      </w:r>
    </w:p>
    <w:p>
      <w:pPr>
        <w:numPr>
          <w:ilvl w:val="0"/>
          <w:numId w:val="0"/>
        </w:numPr>
        <w:spacing w:line="620" w:lineRule="exact"/>
        <w:ind w:firstLine="640" w:firstLineChars="200"/>
        <w:rPr>
          <w:rFonts w:hint="eastAsia" w:ascii="仿宋_GB2312" w:eastAsia="仿宋_GB2312"/>
          <w:color w:val="000000"/>
          <w:sz w:val="32"/>
          <w:szCs w:val="32"/>
        </w:rPr>
      </w:pPr>
      <w:r>
        <w:rPr>
          <w:rFonts w:hint="eastAsia" w:ascii="黑体" w:eastAsia="黑体"/>
          <w:color w:val="000000"/>
          <w:sz w:val="32"/>
          <w:szCs w:val="32"/>
          <w:lang w:eastAsia="zh-CN"/>
        </w:rPr>
        <w:t>十、其</w:t>
      </w:r>
      <w:r>
        <w:rPr>
          <w:rFonts w:hint="eastAsia" w:ascii="黑体" w:eastAsia="黑体"/>
          <w:color w:val="000000"/>
          <w:sz w:val="32"/>
          <w:szCs w:val="32"/>
        </w:rPr>
        <w:t>他重要事项的情况说明</w:t>
      </w:r>
    </w:p>
    <w:p>
      <w:pPr>
        <w:spacing w:line="6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（一）机关运行经费情况</w:t>
      </w:r>
    </w:p>
    <w:p>
      <w:pPr>
        <w:spacing w:line="62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2022年，筱溪街履行一般行政管理职能、维持机关日常运转而开支的机关运行经费财政拨款预算为295.27万元，比2021年预算增加50.22万元，增长20%，其主要原因还是因为人员的增加。</w:t>
      </w:r>
    </w:p>
    <w:p>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）政府采购情况</w:t>
      </w:r>
    </w:p>
    <w:p>
      <w:pPr>
        <w:autoSpaceDE w:val="0"/>
        <w:autoSpaceDN w:val="0"/>
        <w:adjustRightInd w:val="0"/>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年筱溪街安排采购预算</w:t>
      </w:r>
      <w:r>
        <w:rPr>
          <w:rFonts w:hint="eastAsia" w:ascii="仿宋_GB2312" w:eastAsia="仿宋_GB2312"/>
          <w:color w:val="000000"/>
          <w:sz w:val="32"/>
          <w:szCs w:val="32"/>
          <w:lang w:val="en-US" w:eastAsia="zh-CN"/>
        </w:rPr>
        <w:t>3万元，主要用于筱溪街道办事处硬件办公设备的购置</w:t>
      </w:r>
      <w:r>
        <w:rPr>
          <w:rFonts w:hint="eastAsia" w:ascii="仿宋_GB2312" w:eastAsia="仿宋_GB2312"/>
          <w:color w:val="000000"/>
          <w:sz w:val="32"/>
          <w:szCs w:val="32"/>
        </w:rPr>
        <w:t>。</w:t>
      </w:r>
    </w:p>
    <w:p>
      <w:pPr>
        <w:numPr>
          <w:ilvl w:val="0"/>
          <w:numId w:val="3"/>
        </w:numPr>
        <w:autoSpaceDE w:val="0"/>
        <w:autoSpaceDN w:val="0"/>
        <w:adjustRightInd w:val="0"/>
        <w:ind w:firstLine="640" w:firstLineChars="200"/>
        <w:jc w:val="left"/>
        <w:rPr>
          <w:rFonts w:hint="eastAsia" w:ascii="仿宋_GB2312" w:eastAsia="仿宋_GB2312"/>
          <w:color w:val="000000"/>
          <w:sz w:val="28"/>
          <w:szCs w:val="28"/>
        </w:rPr>
      </w:pPr>
      <w:r>
        <w:rPr>
          <w:rFonts w:hint="eastAsia" w:ascii="仿宋_GB2312" w:eastAsia="仿宋_GB2312"/>
          <w:color w:val="000000"/>
          <w:sz w:val="32"/>
          <w:szCs w:val="32"/>
        </w:rPr>
        <w:t>国有资产占有使用情况</w:t>
      </w:r>
    </w:p>
    <w:p>
      <w:pPr>
        <w:numPr>
          <w:ilvl w:val="0"/>
          <w:numId w:val="3"/>
        </w:numPr>
        <w:autoSpaceDE w:val="0"/>
        <w:autoSpaceDN w:val="0"/>
        <w:adjustRightInd w:val="0"/>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w:t>
      </w:r>
      <w:r>
        <w:rPr>
          <w:rFonts w:hint="eastAsia" w:ascii="仿宋_GB2312" w:eastAsia="仿宋_GB2312"/>
          <w:color w:val="000000"/>
          <w:sz w:val="32"/>
          <w:szCs w:val="32"/>
        </w:rPr>
        <w:t>截至20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年底</w:t>
      </w:r>
      <w:r>
        <w:rPr>
          <w:rFonts w:hint="eastAsia" w:ascii="仿宋_GB2312" w:eastAsia="仿宋_GB2312"/>
          <w:color w:val="000000"/>
          <w:sz w:val="28"/>
          <w:szCs w:val="28"/>
        </w:rPr>
        <w:t>，</w:t>
      </w:r>
      <w:r>
        <w:rPr>
          <w:rFonts w:hint="eastAsia" w:ascii="仿宋_GB2312" w:eastAsia="仿宋_GB2312"/>
          <w:color w:val="000000"/>
          <w:sz w:val="32"/>
          <w:szCs w:val="32"/>
        </w:rPr>
        <w:t>无公务用车</w:t>
      </w:r>
      <w:r>
        <w:rPr>
          <w:rFonts w:hint="eastAsia" w:ascii="仿宋_GB2312" w:eastAsia="仿宋_GB2312"/>
          <w:color w:val="000000"/>
          <w:sz w:val="28"/>
          <w:szCs w:val="28"/>
        </w:rPr>
        <w:t>。</w:t>
      </w:r>
    </w:p>
    <w:p>
      <w:pPr>
        <w:ind w:firstLine="570"/>
        <w:rPr>
          <w:rFonts w:hint="eastAsia" w:ascii="楷体_GB2312" w:eastAsia="楷体_GB2312"/>
          <w:b/>
          <w:bCs/>
          <w:color w:val="333333"/>
          <w:sz w:val="28"/>
          <w:szCs w:val="28"/>
        </w:rPr>
      </w:pPr>
      <w:r>
        <w:rPr>
          <w:rFonts w:hint="eastAsia" w:ascii="仿宋_GB2312" w:eastAsia="仿宋_GB2312"/>
          <w:sz w:val="32"/>
          <w:szCs w:val="32"/>
        </w:rPr>
        <w:t>（四）绩效目标设置情况</w:t>
      </w:r>
    </w:p>
    <w:p>
      <w:pPr>
        <w:ind w:firstLine="570"/>
        <w:rPr>
          <w:rFonts w:hint="eastAsia" w:ascii="仿宋_GB2312" w:eastAsia="仿宋_GB2312"/>
          <w:sz w:val="32"/>
          <w:szCs w:val="32"/>
        </w:rPr>
      </w:pPr>
      <w:r>
        <w:rPr>
          <w:rFonts w:hint="eastAsia" w:ascii="仿宋_GB2312" w:eastAsia="仿宋_GB2312"/>
          <w:sz w:val="32"/>
          <w:szCs w:val="32"/>
        </w:rPr>
        <w:t>绩效目标是预算编制的前提和基础，按照“费随事定”的原则，202</w:t>
      </w:r>
      <w:r>
        <w:rPr>
          <w:rFonts w:hint="eastAsia" w:ascii="仿宋_GB2312" w:eastAsia="仿宋_GB2312"/>
          <w:sz w:val="32"/>
          <w:szCs w:val="32"/>
          <w:lang w:val="en-US" w:eastAsia="zh-CN"/>
        </w:rPr>
        <w:t>2</w:t>
      </w:r>
      <w:r>
        <w:rPr>
          <w:rFonts w:hint="eastAsia" w:ascii="仿宋_GB2312" w:eastAsia="仿宋_GB2312"/>
          <w:sz w:val="32"/>
          <w:szCs w:val="32"/>
        </w:rPr>
        <w:t>年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ind w:firstLine="570"/>
        <w:rPr>
          <w:rFonts w:hint="eastAsia" w:ascii="仿宋_GB2312" w:eastAsia="仿宋_GB2312"/>
          <w:color w:val="000000"/>
          <w:sz w:val="28"/>
          <w:szCs w:val="28"/>
        </w:rPr>
      </w:pPr>
      <w:r>
        <w:rPr>
          <w:rFonts w:hint="eastAsia" w:ascii="仿宋_GB2312" w:eastAsia="仿宋_GB2312"/>
          <w:sz w:val="32"/>
          <w:szCs w:val="32"/>
        </w:rPr>
        <w:t>重点项目预算绩效目标情况是：</w:t>
      </w:r>
      <w:r>
        <w:rPr>
          <w:rFonts w:hint="eastAsia" w:ascii="仿宋_GB2312" w:eastAsia="仿宋_GB2312"/>
          <w:sz w:val="32"/>
          <w:szCs w:val="32"/>
          <w:lang w:eastAsia="zh-CN"/>
        </w:rPr>
        <w:t>失地农民生活补助</w:t>
      </w:r>
      <w:r>
        <w:rPr>
          <w:rFonts w:hint="eastAsia" w:ascii="仿宋_GB2312" w:eastAsia="仿宋_GB2312"/>
          <w:sz w:val="32"/>
          <w:szCs w:val="32"/>
        </w:rPr>
        <w:t>项目，绩效目标是实现失地农民生活补助按时足额发放，确保社会稳定。</w:t>
      </w:r>
    </w:p>
    <w:p>
      <w:pPr>
        <w:spacing w:line="620" w:lineRule="exact"/>
        <w:ind w:firstLine="640" w:firstLineChars="200"/>
        <w:rPr>
          <w:rFonts w:hint="eastAsia" w:ascii="黑体" w:eastAsia="黑体"/>
          <w:color w:val="000000"/>
          <w:sz w:val="32"/>
          <w:szCs w:val="32"/>
        </w:rPr>
      </w:pPr>
      <w:r>
        <w:rPr>
          <w:rFonts w:hint="eastAsia" w:ascii="黑体" w:eastAsia="黑体"/>
          <w:color w:val="000000"/>
          <w:sz w:val="32"/>
          <w:szCs w:val="32"/>
          <w:lang w:val="en-US" w:eastAsia="zh-CN"/>
        </w:rPr>
        <w:t>十一、</w:t>
      </w:r>
      <w:r>
        <w:rPr>
          <w:rFonts w:hint="eastAsia" w:ascii="黑体" w:eastAsia="黑体"/>
          <w:color w:val="000000"/>
          <w:sz w:val="32"/>
          <w:szCs w:val="32"/>
        </w:rPr>
        <w:t>名词解释</w:t>
      </w:r>
    </w:p>
    <w:p>
      <w:pPr>
        <w:spacing w:line="620" w:lineRule="exact"/>
        <w:ind w:firstLine="729" w:firstLineChars="228"/>
        <w:rPr>
          <w:rFonts w:hint="eastAsia" w:ascii="仿宋_GB2312" w:eastAsia="仿宋_GB2312"/>
          <w:color w:val="000000"/>
          <w:sz w:val="32"/>
          <w:szCs w:val="32"/>
        </w:rPr>
      </w:pPr>
      <w:r>
        <w:rPr>
          <w:rFonts w:hint="eastAsia" w:ascii="仿宋_GB2312" w:eastAsia="仿宋_GB2312"/>
          <w:color w:val="000000"/>
          <w:sz w:val="32"/>
          <w:szCs w:val="32"/>
        </w:rPr>
        <w:t>1.一般公共预算拨款收入：指区级财政当年拨付的资金。</w:t>
      </w:r>
    </w:p>
    <w:p>
      <w:pPr>
        <w:spacing w:line="620" w:lineRule="exact"/>
        <w:ind w:firstLine="729" w:firstLineChars="228"/>
        <w:rPr>
          <w:rFonts w:hint="eastAsia" w:ascii="仿宋_GB2312" w:eastAsia="仿宋_GB2312"/>
          <w:color w:val="000000"/>
          <w:sz w:val="32"/>
          <w:szCs w:val="32"/>
        </w:rPr>
      </w:pPr>
      <w:r>
        <w:rPr>
          <w:rFonts w:hint="eastAsia" w:ascii="仿宋_GB2312" w:eastAsia="仿宋_GB2312"/>
          <w:color w:val="000000"/>
          <w:sz w:val="32"/>
          <w:szCs w:val="32"/>
        </w:rPr>
        <w:t>2.事业收入：指事业单位开展专业业务活动及辅助活动所取得的收入。</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3.上年结转：指以前年度尚未完成，结转到本年仍按原规定用途继续使用的资金。</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4.一般公共服务（类）****（款）行政运行（项）：指***（部门单位）行政单位及参照公务员法管理的事业单位用于保障机构正常运行、开展日常工作的基本支出。</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5.社会保障和就业（类）****（款）****（项）：指***（部门单位）用于保障...的支出。</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6.7.基本支出：指为保证机构正常运转，完成日常工作任务而发生的人员支出和公用支出。</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7.项目支出：指在基本支出之外为完成特定行政任务和事业发展目标所发生的支出。</w:t>
      </w:r>
    </w:p>
    <w:p>
      <w:pPr>
        <w:spacing w:line="620" w:lineRule="exact"/>
        <w:ind w:firstLine="660"/>
        <w:rPr>
          <w:rFonts w:hint="eastAsia" w:ascii="仿宋_GB2312" w:eastAsia="仿宋_GB2312"/>
          <w:color w:val="000000"/>
          <w:sz w:val="32"/>
          <w:szCs w:val="32"/>
        </w:rPr>
      </w:pPr>
      <w:r>
        <w:rPr>
          <w:rFonts w:hint="eastAsia" w:ascii="仿宋_GB2312" w:eastAsia="仿宋_GB2312"/>
          <w:color w:val="000000"/>
          <w:sz w:val="32"/>
          <w:szCs w:val="32"/>
        </w:rPr>
        <w:t>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2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9.机关运行经费：为保障行政单位（包含参照公务员法管理的事业单位）运行用于购买货物和服务的各项资金。包括办公及印刷费、邮电费、差旅费、会议费一般设备购置费等费用开支。</w:t>
      </w:r>
    </w:p>
    <w:p>
      <w:pPr>
        <w:spacing w:line="620" w:lineRule="exact"/>
        <w:rPr>
          <w:rFonts w:hint="eastAsia" w:ascii="仿宋_GB2312" w:eastAsia="仿宋_GB2312"/>
          <w:color w:val="000000"/>
          <w:sz w:val="32"/>
          <w:szCs w:val="32"/>
        </w:rPr>
      </w:pPr>
    </w:p>
    <w:p>
      <w:pPr>
        <w:rPr>
          <w:rFonts w:hint="eastAsia" w:ascii="仿宋_GB2312" w:eastAsia="仿宋_GB2312"/>
          <w:color w:val="000000"/>
          <w:sz w:val="32"/>
          <w:szCs w:val="32"/>
          <w:lang w:eastAsia="zh-CN"/>
        </w:rPr>
      </w:pPr>
      <w:r>
        <w:rPr>
          <w:rFonts w:hint="eastAsia" w:ascii="仿宋_GB2312" w:eastAsia="仿宋_GB2312"/>
          <w:color w:val="000000"/>
          <w:sz w:val="28"/>
          <w:szCs w:val="28"/>
        </w:rPr>
        <w:t>　</w:t>
      </w:r>
      <w:r>
        <w:rPr>
          <w:rFonts w:hint="eastAsia" w:ascii="黑体" w:eastAsia="黑体"/>
          <w:color w:val="000000"/>
          <w:sz w:val="32"/>
          <w:szCs w:val="32"/>
        </w:rPr>
        <w:t>附件：</w:t>
      </w:r>
      <w:r>
        <w:rPr>
          <w:rFonts w:hint="eastAsia" w:ascii="仿宋_GB2312" w:eastAsia="仿宋_GB2312"/>
          <w:color w:val="000000"/>
          <w:sz w:val="32"/>
          <w:szCs w:val="32"/>
        </w:rPr>
        <w:t xml:space="preserve">  表1.部门预算收支总表</w:t>
      </w:r>
    </w:p>
    <w:p>
      <w:pPr>
        <w:rPr>
          <w:rFonts w:hint="eastAsia" w:ascii="仿宋_GB2312" w:eastAsia="仿宋_GB2312"/>
          <w:color w:val="000000"/>
          <w:sz w:val="32"/>
          <w:szCs w:val="32"/>
          <w:lang w:eastAsia="zh-CN"/>
        </w:rPr>
      </w:pPr>
      <w:r>
        <w:rPr>
          <w:rFonts w:hint="eastAsia" w:ascii="仿宋_GB2312" w:eastAsia="仿宋_GB2312"/>
          <w:color w:val="000000"/>
          <w:sz w:val="32"/>
          <w:szCs w:val="32"/>
        </w:rPr>
        <w:t>　　　    表1-1.部门预算收入总表</w:t>
      </w:r>
    </w:p>
    <w:p>
      <w:pPr>
        <w:rPr>
          <w:rFonts w:hint="eastAsia" w:ascii="仿宋_GB2312" w:eastAsia="仿宋_GB2312"/>
          <w:color w:val="000000"/>
          <w:sz w:val="32"/>
          <w:szCs w:val="32"/>
          <w:lang w:eastAsia="zh-CN"/>
        </w:rPr>
      </w:pPr>
      <w:r>
        <w:rPr>
          <w:rFonts w:hint="eastAsia" w:ascii="仿宋_GB2312" w:eastAsia="仿宋_GB2312"/>
          <w:color w:val="000000"/>
          <w:sz w:val="32"/>
          <w:szCs w:val="32"/>
        </w:rPr>
        <w:t>　　　　　表1-2.部门支出总表</w:t>
      </w:r>
    </w:p>
    <w:p>
      <w:pPr>
        <w:rPr>
          <w:rFonts w:hint="eastAsia" w:ascii="仿宋_GB2312" w:eastAsia="仿宋_GB2312"/>
          <w:color w:val="000000"/>
          <w:sz w:val="32"/>
          <w:szCs w:val="32"/>
        </w:rPr>
      </w:pPr>
      <w:r>
        <w:rPr>
          <w:rFonts w:hint="eastAsia" w:ascii="仿宋_GB2312" w:eastAsia="仿宋_GB2312"/>
          <w:color w:val="000000"/>
          <w:sz w:val="32"/>
          <w:szCs w:val="32"/>
        </w:rPr>
        <w:t>　　　　　表2.财政拨款收支预算总表</w:t>
      </w:r>
    </w:p>
    <w:p>
      <w:pPr>
        <w:ind w:firstLine="1600" w:firstLineChars="500"/>
        <w:rPr>
          <w:rFonts w:hint="eastAsia" w:ascii="仿宋_GB2312" w:eastAsia="仿宋_GB2312"/>
          <w:color w:val="000000"/>
          <w:sz w:val="28"/>
          <w:szCs w:val="28"/>
          <w:lang w:eastAsia="zh-CN"/>
        </w:rPr>
      </w:pPr>
      <w:r>
        <w:rPr>
          <w:rFonts w:hint="eastAsia" w:ascii="仿宋_GB2312" w:eastAsia="仿宋_GB2312"/>
          <w:color w:val="000000"/>
          <w:sz w:val="32"/>
          <w:szCs w:val="32"/>
        </w:rPr>
        <w:t>表2-1. 财政拨款支出预算表</w:t>
      </w:r>
      <w:r>
        <w:rPr>
          <w:rFonts w:hint="eastAsia" w:ascii="仿宋_GB2312" w:eastAsia="仿宋_GB2312"/>
          <w:color w:val="000000"/>
          <w:sz w:val="28"/>
          <w:szCs w:val="28"/>
        </w:rPr>
        <w:t>（政府经济分类科目）</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表3.一般公共预算支出预算表</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表3-1.一般公共预算基本支出表</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表3-2.一般公共预算项目支出预算表</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表3-3.一般公共预算“三公”经费支出预算表</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表4.政府性基金预算支出表</w:t>
      </w:r>
    </w:p>
    <w:p>
      <w:pPr>
        <w:ind w:firstLine="1600" w:firstLineChars="500"/>
        <w:rPr>
          <w:rFonts w:hint="eastAsia" w:ascii="仿宋_GB2312" w:eastAsia="仿宋_GB2312"/>
          <w:color w:val="000000"/>
          <w:sz w:val="32"/>
          <w:szCs w:val="32"/>
          <w:lang w:eastAsia="zh-CN"/>
        </w:rPr>
      </w:pPr>
      <w:r>
        <w:rPr>
          <w:rFonts w:hint="eastAsia" w:ascii="仿宋_GB2312" w:eastAsia="仿宋_GB2312"/>
          <w:color w:val="000000"/>
          <w:sz w:val="32"/>
          <w:szCs w:val="32"/>
        </w:rPr>
        <w:t>表4-1.政府性基金“三公”经费支出预算表</w:t>
      </w:r>
    </w:p>
    <w:p>
      <w:pPr>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表5.国有资本经营预算支出预算表</w:t>
      </w:r>
    </w:p>
    <w:p>
      <w:pPr>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表6</w:t>
      </w:r>
      <w:r>
        <w:rPr>
          <w:rFonts w:ascii="仿宋_GB2312" w:eastAsia="仿宋_GB2312"/>
          <w:color w:val="000000"/>
          <w:sz w:val="32"/>
          <w:szCs w:val="32"/>
        </w:rPr>
        <w:t>.</w:t>
      </w:r>
      <w:r>
        <w:rPr>
          <w:rFonts w:hint="eastAsia" w:ascii="仿宋_GB2312" w:eastAsia="仿宋_GB2312"/>
          <w:color w:val="000000"/>
          <w:sz w:val="32"/>
          <w:szCs w:val="32"/>
        </w:rPr>
        <w:t>项目绩效目标</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default" w:ascii="仿宋_GB2312" w:hAnsi="仿宋_GB2312" w:eastAsia="仿宋_GB2312" w:cs="仿宋_GB2312"/>
          <w:color w:val="000000"/>
          <w:kern w:val="21"/>
          <w:sz w:val="32"/>
          <w:szCs w:val="32"/>
          <w:shd w:val="clear" w:color="auto" w:fill="FFFFFF"/>
          <w:lang w:val="en-US" w:eastAsia="zh-CN" w:bidi="ar"/>
        </w:rPr>
      </w:pPr>
    </w:p>
    <w:p>
      <w:pPr>
        <w:rPr>
          <w:rFonts w:hint="eastAsia" w:ascii="仿宋_GB2312" w:eastAsia="仿宋_GB2312"/>
          <w:b w:val="0"/>
          <w:bCs w:val="0"/>
          <w:i w:val="0"/>
          <w:iCs w:val="0"/>
          <w:sz w:val="28"/>
          <w:szCs w:val="28"/>
          <w:highlight w:val="none"/>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361BC8-93CF-47DB-834C-78D1A2A741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2828317-B1A9-4227-ACBC-886BB7EF887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C7DC4A4-A3C0-4CC7-B948-B768D4995A13}"/>
  </w:font>
  <w:font w:name="楷体_GB2312">
    <w:altName w:val="楷体"/>
    <w:panose1 w:val="02010609030101010101"/>
    <w:charset w:val="86"/>
    <w:family w:val="modern"/>
    <w:pitch w:val="default"/>
    <w:sig w:usb0="00000000" w:usb1="00000000" w:usb2="00000000" w:usb3="00000000" w:csb0="00040000" w:csb1="00000000"/>
    <w:embedRegular r:id="rId4" w:fontKey="{79CCAF33-E49D-4F7D-838B-D61F1E494E8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2405380</wp:posOffset>
              </wp:positionH>
              <wp:positionV relativeFrom="paragraph">
                <wp:posOffset>0</wp:posOffset>
              </wp:positionV>
              <wp:extent cx="730250" cy="470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0250" cy="470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0"/>
                              <w:rFonts w:hint="eastAsia" w:ascii="宋体" w:hAnsi="宋体" w:eastAsia="宋体"/>
                              <w:sz w:val="30"/>
                              <w:szCs w:val="30"/>
                              <w:lang w:val="en-US" w:eastAsia="zh-CN"/>
                            </w:rPr>
                          </w:pPr>
                          <w:r>
                            <w:rPr>
                              <w:rFonts w:hint="eastAsia" w:ascii="宋体" w:hAnsi="宋体"/>
                              <w:sz w:val="30"/>
                              <w:szCs w:val="30"/>
                              <w:lang w:val="en-US" w:eastAsia="zh-CN"/>
                            </w:rPr>
                            <w:t>-</w:t>
                          </w: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- 12 -</w:t>
                          </w:r>
                          <w:r>
                            <w:rPr>
                              <w:rFonts w:ascii="宋体" w:hAnsi="宋体"/>
                              <w:sz w:val="30"/>
                              <w:szCs w:val="30"/>
                            </w:rPr>
                            <w:fldChar w:fldCharType="end"/>
                          </w:r>
                          <w:r>
                            <w:rPr>
                              <w:rFonts w:hint="eastAsia" w:ascii="宋体" w:hAnsi="宋体"/>
                              <w:sz w:val="30"/>
                              <w:szCs w:val="30"/>
                              <w:lang w:val="en-US" w:eastAsia="zh-CN"/>
                            </w:rPr>
                            <w:t>-</w:t>
                          </w:r>
                        </w:p>
                        <w:p>
                          <w:pPr>
                            <w:pStyle w:val="3"/>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4pt;margin-top:0pt;height:37.05pt;width:57.5pt;mso-position-horizontal-relative:margin;z-index:251660288;mso-width-relative:page;mso-height-relative:page;" filled="f" stroked="f" coordsize="21600,21600" o:gfxdata="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LFvtYAAAAHAQAADwAAAAAAAAABACAAAAAiAAAAZHJzL2Rvd25yZXYu&#10;eG1sUEsBAhQAFAAAAAgAh07iQH5yt4U2AgAAYQQAAA4AAAAAAAAAAQAgAAAAJQEAAGRycy9lMm9E&#10;b2MueG1sUEsFBgAAAAAGAAYAWQEAAM0FAAAAAA==&#10;">
              <v:fill on="f" focussize="0,0"/>
              <v:stroke on="f" weight="0.5pt"/>
              <v:imagedata o:title=""/>
              <o:lock v:ext="edit" aspectratio="f"/>
              <v:textbox inset="0mm,0mm,0mm,0mm">
                <w:txbxContent>
                  <w:p>
                    <w:pPr>
                      <w:pStyle w:val="3"/>
                      <w:rPr>
                        <w:rStyle w:val="10"/>
                        <w:rFonts w:hint="eastAsia" w:ascii="宋体" w:hAnsi="宋体" w:eastAsia="宋体"/>
                        <w:sz w:val="30"/>
                        <w:szCs w:val="30"/>
                        <w:lang w:val="en-US" w:eastAsia="zh-CN"/>
                      </w:rPr>
                    </w:pPr>
                    <w:r>
                      <w:rPr>
                        <w:rFonts w:hint="eastAsia" w:ascii="宋体" w:hAnsi="宋体"/>
                        <w:sz w:val="30"/>
                        <w:szCs w:val="30"/>
                        <w:lang w:val="en-US" w:eastAsia="zh-CN"/>
                      </w:rPr>
                      <w:t>-</w:t>
                    </w: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- 12 -</w:t>
                    </w:r>
                    <w:r>
                      <w:rPr>
                        <w:rFonts w:ascii="宋体" w:hAnsi="宋体"/>
                        <w:sz w:val="30"/>
                        <w:szCs w:val="30"/>
                      </w:rPr>
                      <w:fldChar w:fldCharType="end"/>
                    </w:r>
                    <w:r>
                      <w:rPr>
                        <w:rFonts w:hint="eastAsia" w:ascii="宋体" w:hAnsi="宋体"/>
                        <w:sz w:val="30"/>
                        <w:szCs w:val="30"/>
                        <w:lang w:val="en-US" w:eastAsia="zh-CN"/>
                      </w:rPr>
                      <w:t>-</w:t>
                    </w:r>
                  </w:p>
                  <w:p>
                    <w:pPr>
                      <w:pStyle w:val="3"/>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572B47A"/>
    <w:multiLevelType w:val="singleLevel"/>
    <w:tmpl w:val="3572B47A"/>
    <w:lvl w:ilvl="0" w:tentative="0">
      <w:start w:val="3"/>
      <w:numFmt w:val="chineseCounting"/>
      <w:suff w:val="nothing"/>
      <w:lvlText w:val="（%1）"/>
      <w:lvlJc w:val="left"/>
      <w:rPr>
        <w:rFonts w:hint="eastAsia"/>
      </w:rPr>
    </w:lvl>
  </w:abstractNum>
  <w:abstractNum w:abstractNumId="2">
    <w:nsid w:val="45BFF5F8"/>
    <w:multiLevelType w:val="singleLevel"/>
    <w:tmpl w:val="45BFF5F8"/>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04A88"/>
    <w:rsid w:val="02244AE1"/>
    <w:rsid w:val="07C71A20"/>
    <w:rsid w:val="07D20E5F"/>
    <w:rsid w:val="0C7F5A7A"/>
    <w:rsid w:val="0E480F73"/>
    <w:rsid w:val="0E9414BD"/>
    <w:rsid w:val="119B3E3D"/>
    <w:rsid w:val="12C766CE"/>
    <w:rsid w:val="1F3E609B"/>
    <w:rsid w:val="20A91CB8"/>
    <w:rsid w:val="214D03CE"/>
    <w:rsid w:val="21AA3AD5"/>
    <w:rsid w:val="287E0FDA"/>
    <w:rsid w:val="2F486319"/>
    <w:rsid w:val="30251675"/>
    <w:rsid w:val="33B96FE3"/>
    <w:rsid w:val="340046E3"/>
    <w:rsid w:val="34475305"/>
    <w:rsid w:val="35F8142E"/>
    <w:rsid w:val="363C7812"/>
    <w:rsid w:val="37DD2B3E"/>
    <w:rsid w:val="3967568D"/>
    <w:rsid w:val="39E07554"/>
    <w:rsid w:val="3B9614E0"/>
    <w:rsid w:val="3C835EE8"/>
    <w:rsid w:val="3EE96B5E"/>
    <w:rsid w:val="443B14A1"/>
    <w:rsid w:val="468B4290"/>
    <w:rsid w:val="49604A88"/>
    <w:rsid w:val="49784E0A"/>
    <w:rsid w:val="4F3355F9"/>
    <w:rsid w:val="5BD75868"/>
    <w:rsid w:val="60581706"/>
    <w:rsid w:val="61E83526"/>
    <w:rsid w:val="63957B37"/>
    <w:rsid w:val="64E152D1"/>
    <w:rsid w:val="69C618FA"/>
    <w:rsid w:val="6AB41BA6"/>
    <w:rsid w:val="6ADF5BDC"/>
    <w:rsid w:val="6E755F43"/>
    <w:rsid w:val="75C7180B"/>
    <w:rsid w:val="76A02EC5"/>
    <w:rsid w:val="7831046A"/>
    <w:rsid w:val="7CC2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2.png"/><Relationship Id="rId2" Type="http://schemas.openxmlformats.org/officeDocument/2006/relationships/themeOverride" Target="../theme/themeOverrid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2.png"/><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收入预算结构图</a:t>
            </a:r>
          </a:p>
        </c:rich>
      </c:tx>
      <c:layout/>
      <c:overlay val="0"/>
      <c:spPr>
        <a:noFill/>
        <a:ln>
          <a:noFill/>
        </a:ln>
        <a:effectLst/>
      </c:spPr>
    </c:title>
    <c:autoTitleDeleted val="0"/>
    <c:plotArea>
      <c:layout>
        <c:manualLayout>
          <c:layoutTarget val="inner"/>
          <c:xMode val="edge"/>
          <c:yMode val="edge"/>
          <c:x val="0.269153090076747"/>
          <c:y val="0.183020948180816"/>
          <c:w val="0.444997980341995"/>
          <c:h val="0.72877618522602"/>
        </c:manualLayout>
      </c:layout>
      <c:pieChart>
        <c:varyColors val="1"/>
        <c:ser>
          <c:idx val="0"/>
          <c:order val="0"/>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[工作簿1]Sheet1!$A$1</c:f>
              <c:strCache>
                <c:ptCount val="1"/>
                <c:pt idx="0">
                  <c:v>一般公共预算拨款收入</c:v>
                </c:pt>
              </c:strCache>
            </c:strRef>
          </c:cat>
          <c:val>
            <c:numRef>
              <c:f>[工作簿1]Sheet1!$A$2</c:f>
              <c:numCache>
                <c:formatCode>General</c:formatCode>
                <c:ptCount val="1"/>
                <c:pt idx="0">
                  <c:v>1226.8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879166666666667"/>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支出预算结构图</a:t>
            </a:r>
          </a:p>
        </c:rich>
      </c:tx>
      <c:layout/>
      <c:overlay val="0"/>
      <c:spPr>
        <a:noFill/>
        <a:ln>
          <a:noFill/>
        </a:ln>
        <a:effectLst/>
      </c:spPr>
    </c:title>
    <c:autoTitleDeleted val="0"/>
    <c:plotArea>
      <c:layout>
        <c:manualLayout>
          <c:layoutTarget val="inner"/>
          <c:xMode val="edge"/>
          <c:yMode val="edge"/>
          <c:x val="0.269153090076747"/>
          <c:y val="0.183020948180816"/>
          <c:w val="0.444997980341995"/>
          <c:h val="0.72877618522602"/>
        </c:manualLayout>
      </c:layout>
      <c:pieChart>
        <c:varyColors val="1"/>
        <c:ser>
          <c:idx val="0"/>
          <c:order val="0"/>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[工作簿1]Sheet1!$A$1</c:f>
              <c:strCache>
                <c:ptCount val="1"/>
                <c:pt idx="0">
                  <c:v>一般公共预算拨款收入</c:v>
                </c:pt>
              </c:strCache>
            </c:strRef>
          </c:cat>
          <c:val>
            <c:numRef>
              <c:f>[工作簿1]Sheet1!$A$2</c:f>
              <c:numCache>
                <c:formatCode>General</c:formatCode>
                <c:ptCount val="1"/>
                <c:pt idx="0">
                  <c:v>1226.8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879166666666667"/>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财政拨款收支总预算变动情况</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2021年</c:v>
                </c:pt>
                <c:pt idx="1">
                  <c:v>2022年</c:v>
                </c:pt>
              </c:strCache>
            </c:strRef>
          </c:cat>
          <c:val>
            <c:numRef>
              <c:f>[工作簿1]Sheet1!$A$2:$B$2</c:f>
              <c:numCache>
                <c:formatCode>General</c:formatCode>
                <c:ptCount val="2"/>
                <c:pt idx="0">
                  <c:v>1226.8</c:v>
                </c:pt>
                <c:pt idx="1">
                  <c:v>924.73</c:v>
                </c:pt>
              </c:numCache>
            </c:numRef>
          </c:val>
        </c:ser>
        <c:dLbls>
          <c:showLegendKey val="0"/>
          <c:showVal val="1"/>
          <c:showCatName val="0"/>
          <c:showSerName val="0"/>
          <c:showPercent val="0"/>
          <c:showBubbleSize val="0"/>
        </c:dLbls>
        <c:gapWidth val="61"/>
        <c:overlap val="37"/>
        <c:axId val="298668926"/>
        <c:axId val="973213994"/>
      </c:barChart>
      <c:catAx>
        <c:axId val="29866892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bg1">
                <a:lumMod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973213994"/>
        <c:crosses val="autoZero"/>
        <c:auto val="1"/>
        <c:lblAlgn val="ctr"/>
        <c:lblOffset val="100"/>
        <c:noMultiLvlLbl val="0"/>
      </c:catAx>
      <c:valAx>
        <c:axId val="9732139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986689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一般公共预算财政拨款支出预算结构</a:t>
            </a:r>
          </a:p>
        </c:rich>
      </c:tx>
      <c:layout/>
      <c:overlay val="0"/>
      <c:spPr>
        <a:noFill/>
        <a:ln>
          <a:noFill/>
        </a:ln>
        <a:effectLst/>
      </c:spPr>
    </c:title>
    <c:autoTitleDeleted val="0"/>
    <c:plotArea>
      <c:layout>
        <c:manualLayout>
          <c:layoutTarget val="inner"/>
          <c:xMode val="edge"/>
          <c:yMode val="edge"/>
          <c:x val="0.300681544834959"/>
          <c:y val="0.211654387139987"/>
          <c:w val="0.393826005612722"/>
          <c:h val="0.657959365929895"/>
        </c:manualLayout>
      </c:layout>
      <c:pieChart>
        <c:varyColors val="1"/>
        <c:ser>
          <c:idx val="0"/>
          <c:order val="0"/>
          <c:spPr>
            <a:solidFill>
              <a:srgbClr val="56C5D2"/>
            </a:solidFill>
            <a:effectLst/>
          </c:spPr>
          <c:explosion val="0"/>
          <c:dPt>
            <c:idx val="0"/>
            <c:bubble3D val="0"/>
            <c:spPr>
              <a:solidFill>
                <a:srgbClr val="F79C64"/>
              </a:solidFill>
              <a:ln>
                <a:noFill/>
              </a:ln>
              <a:effectLst/>
            </c:spPr>
          </c:dPt>
          <c:dPt>
            <c:idx val="1"/>
            <c:bubble3D val="0"/>
            <c:spPr>
              <a:solidFill>
                <a:srgbClr val="FED573"/>
              </a:solidFill>
              <a:ln>
                <a:noFill/>
              </a:ln>
              <a:effectLst/>
            </c:spPr>
          </c:dPt>
          <c:dPt>
            <c:idx val="2"/>
            <c:bubble3D val="0"/>
            <c:spPr>
              <a:solidFill>
                <a:srgbClr val="4599C3"/>
              </a:solidFill>
              <a:ln>
                <a:noFill/>
              </a:ln>
              <a:effectLst/>
            </c:spPr>
          </c:dPt>
          <c:dPt>
            <c:idx val="3"/>
            <c:bubble3D val="0"/>
            <c:spPr>
              <a:solidFill>
                <a:srgbClr val="56C5D2"/>
              </a:solidFill>
              <a:ln>
                <a:noFill/>
              </a:ln>
              <a:effectLst/>
            </c:spPr>
          </c:dPt>
          <c:dPt>
            <c:idx val="4"/>
            <c:bubble3D val="0"/>
            <c:spPr>
              <a:solidFill>
                <a:srgbClr val="56C5D2"/>
              </a:solidFill>
              <a:ln>
                <a:noFill/>
              </a:ln>
              <a:effectLst/>
            </c:spPr>
          </c:dPt>
          <c:dPt>
            <c:idx val="5"/>
            <c:bubble3D val="0"/>
            <c:spPr>
              <a:solidFill>
                <a:srgbClr val="56C5D2"/>
              </a:solidFill>
              <a:ln>
                <a:noFill/>
              </a:ln>
              <a:effectLst/>
            </c:spPr>
          </c:dPt>
          <c:dLbls>
            <c:dLbl>
              <c:idx val="0"/>
              <c:layout/>
              <c:numFmt formatCode="General" sourceLinked="1"/>
              <c:spPr>
                <a:solidFill>
                  <a:srgbClr val="F79C64"/>
                </a:solid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ED573"/>
                </a:solid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rgbClr val="4599C3"/>
                </a:solid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solidFill>
                <a:srgbClr val="56C5D2"/>
              </a:solid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[工作簿1]Sheet1!$B$11:$B$16</c:f>
              <c:strCache>
                <c:ptCount val="6"/>
                <c:pt idx="0">
                  <c:v>一般公共服务（类）支出</c:v>
                </c:pt>
                <c:pt idx="1">
                  <c:v>文化体育与传媒支出</c:v>
                </c:pt>
                <c:pt idx="2">
                  <c:v>社会保障和就业（类）支出</c:v>
                </c:pt>
                <c:pt idx="3">
                  <c:v>卫生健康（类）支出</c:v>
                </c:pt>
                <c:pt idx="4">
                  <c:v>农林水（类）支出</c:v>
                </c:pt>
                <c:pt idx="5">
                  <c:v>住房保障（类）支出</c:v>
                </c:pt>
              </c:strCache>
            </c:strRef>
          </c:cat>
          <c:val>
            <c:numRef>
              <c:f>[工作簿1]Sheet1!$C$11:$C$16</c:f>
              <c:numCache>
                <c:formatCode>General</c:formatCode>
                <c:ptCount val="6"/>
                <c:pt idx="0">
                  <c:v>484.23</c:v>
                </c:pt>
                <c:pt idx="1">
                  <c:v>0</c:v>
                </c:pt>
                <c:pt idx="2">
                  <c:v>43.87</c:v>
                </c:pt>
                <c:pt idx="3">
                  <c:v>20.87</c:v>
                </c:pt>
                <c:pt idx="4">
                  <c:v>642.5</c:v>
                </c:pt>
                <c:pt idx="5">
                  <c:v>35.34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25"/>
          <c:y val="0.59768518518518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一般公共预算财政拨款支出变动情况</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2021年</c:v>
                </c:pt>
                <c:pt idx="1">
                  <c:v>2022年</c:v>
                </c:pt>
              </c:strCache>
            </c:strRef>
          </c:cat>
          <c:val>
            <c:numRef>
              <c:f>[工作簿1]Sheet1!$A$2:$B$2</c:f>
              <c:numCache>
                <c:formatCode>General</c:formatCode>
                <c:ptCount val="2"/>
                <c:pt idx="0">
                  <c:v>1226.8</c:v>
                </c:pt>
                <c:pt idx="1">
                  <c:v>924.73</c:v>
                </c:pt>
              </c:numCache>
            </c:numRef>
          </c:val>
        </c:ser>
        <c:dLbls>
          <c:showLegendKey val="0"/>
          <c:showVal val="1"/>
          <c:showCatName val="0"/>
          <c:showSerName val="0"/>
          <c:showPercent val="0"/>
          <c:showBubbleSize val="0"/>
        </c:dLbls>
        <c:gapWidth val="61"/>
        <c:overlap val="37"/>
        <c:axId val="298668926"/>
        <c:axId val="973213994"/>
      </c:barChart>
      <c:catAx>
        <c:axId val="29866892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bg1">
                <a:lumMod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973213994"/>
        <c:crosses val="autoZero"/>
        <c:auto val="1"/>
        <c:lblAlgn val="ctr"/>
        <c:lblOffset val="100"/>
        <c:noMultiLvlLbl val="0"/>
      </c:catAx>
      <c:valAx>
        <c:axId val="9732139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986689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5233</Words>
  <Characters>5660</Characters>
  <Lines>0</Lines>
  <Paragraphs>0</Paragraphs>
  <TotalTime>0</TotalTime>
  <ScaleCrop>false</ScaleCrop>
  <LinksUpToDate>false</LinksUpToDate>
  <CharactersWithSpaces>6551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2021-05-28T09:06:00Z</dcterms:created>
  <dc:creator>Rylin</dc:creator>
  <cp:lastModifiedBy>Vinki</cp:lastModifiedBy>
  <dcterms:modified xsi:type="dcterms:W3CDTF">2022-01-20T06:13:48Z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5CF479B0AF81499C914042A58D14A4A7</vt:lpwstr>
  </property>
</Properties>
</file>